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B49" w:rsidRDefault="00E67B49">
      <w:pPr>
        <w:pStyle w:val="Standard"/>
        <w:jc w:val="center"/>
      </w:pPr>
      <w:r>
        <w:t>Modèle de contrat local de transition énergétique/écologique</w:t>
      </w:r>
    </w:p>
    <w:p w:rsidR="00E67B49" w:rsidRDefault="00E67B49">
      <w:pPr>
        <w:pStyle w:val="Standard"/>
        <w:jc w:val="center"/>
      </w:pPr>
    </w:p>
    <w:p w:rsidR="00E67B49" w:rsidRDefault="00E67B49">
      <w:pPr>
        <w:pStyle w:val="Standard"/>
        <w:jc w:val="both"/>
      </w:pPr>
      <w:r>
        <w:t xml:space="preserve">Entre </w:t>
      </w:r>
    </w:p>
    <w:p w:rsidR="00E67B49" w:rsidRDefault="00E67B49">
      <w:pPr>
        <w:pStyle w:val="Standard"/>
        <w:jc w:val="both"/>
      </w:pPr>
    </w:p>
    <w:p w:rsidR="00E67B49" w:rsidRDefault="00E67B49">
      <w:pPr>
        <w:pStyle w:val="Standard"/>
        <w:jc w:val="both"/>
      </w:pPr>
      <w:r>
        <w:t>L’Etat, représenté par M/Mme. …, préfet de la région</w:t>
      </w:r>
    </w:p>
    <w:p w:rsidR="00E67B49" w:rsidRDefault="00E67B49">
      <w:pPr>
        <w:pStyle w:val="Standard"/>
        <w:jc w:val="both"/>
      </w:pPr>
      <w:bookmarkStart w:id="0" w:name="_GoBack"/>
      <w:bookmarkEnd w:id="0"/>
      <w:r>
        <w:t>(voir si on fait signer ADEME, ANAH, CDC etc… ?)</w:t>
      </w:r>
    </w:p>
    <w:p w:rsidR="00E67B49" w:rsidRDefault="00E67B49">
      <w:pPr>
        <w:pStyle w:val="Standard"/>
        <w:jc w:val="both"/>
      </w:pPr>
      <w:r>
        <w:t>Et</w:t>
      </w:r>
    </w:p>
    <w:p w:rsidR="00E67B49" w:rsidRDefault="00E67B49">
      <w:pPr>
        <w:pStyle w:val="Standard"/>
        <w:jc w:val="both"/>
      </w:pPr>
    </w:p>
    <w:p w:rsidR="00E67B49" w:rsidRDefault="00E67B49">
      <w:pPr>
        <w:pStyle w:val="Standard"/>
        <w:jc w:val="both"/>
      </w:pPr>
      <w:r>
        <w:t>La Collectivité (dite CL ensuite), représentée par M/Mme, président</w:t>
      </w:r>
    </w:p>
    <w:p w:rsidR="00E67B49" w:rsidRDefault="00E67B49">
      <w:pPr>
        <w:pStyle w:val="Standard"/>
        <w:jc w:val="both"/>
      </w:pPr>
    </w:p>
    <w:p w:rsidR="00E67B49" w:rsidRDefault="00E67B49">
      <w:pPr>
        <w:pStyle w:val="Standard"/>
        <w:jc w:val="both"/>
      </w:pPr>
      <w:r>
        <w:t>Il est convenu ce qui suit</w:t>
      </w:r>
    </w:p>
    <w:p w:rsidR="00E67B49" w:rsidRDefault="00E67B49">
      <w:pPr>
        <w:pStyle w:val="Standard"/>
        <w:jc w:val="both"/>
      </w:pPr>
    </w:p>
    <w:p w:rsidR="00E67B49" w:rsidRDefault="00E67B49">
      <w:pPr>
        <w:pStyle w:val="Standard"/>
        <w:jc w:val="both"/>
      </w:pPr>
      <w:r>
        <w:t>Préambule</w:t>
      </w:r>
    </w:p>
    <w:p w:rsidR="00E67B49" w:rsidRDefault="00E67B49">
      <w:pPr>
        <w:pStyle w:val="Standard"/>
        <w:jc w:val="both"/>
      </w:pPr>
    </w:p>
    <w:p w:rsidR="00E67B49" w:rsidRDefault="00E67B49">
      <w:pPr>
        <w:pStyle w:val="Standard"/>
        <w:jc w:val="both"/>
      </w:pPr>
      <w:r>
        <w:t>CL souhaite engager les acteurs de son territoire dans une dynamique structurée, pluri-annuelle, de transition énergétique et écologique, qui rencontre les priorités de l’Etat, [en particulier telles qu’exprimées au travers de la loi relative à la transition énergétique et à la croissance verte et de ses programmes d’accompagnement]. L’Etat et CL conviennent donc de collaborer pour la définition et la mise en œuvre de cette dynamique, au travers d’un plan d’actions déployé par CL et auquel l’Etat apportera un concours méthodologique, financier, et de mise en œuvre (dont instruction des procédures réglementaires).</w:t>
      </w:r>
    </w:p>
    <w:p w:rsidR="00E67B49" w:rsidRDefault="00E67B49">
      <w:pPr>
        <w:pStyle w:val="Standard"/>
        <w:jc w:val="both"/>
      </w:pPr>
    </w:p>
    <w:p w:rsidR="00E67B49" w:rsidRDefault="00E67B49">
      <w:pPr>
        <w:pStyle w:val="Standard"/>
        <w:jc w:val="both"/>
      </w:pPr>
      <w:r>
        <w:rPr>
          <w:b/>
        </w:rPr>
        <w:t>Article 1. Diagnostic ou Plan d’actions.</w:t>
      </w:r>
    </w:p>
    <w:p w:rsidR="00E67B49" w:rsidRDefault="00E67B49">
      <w:pPr>
        <w:pStyle w:val="Standard"/>
        <w:jc w:val="both"/>
      </w:pPr>
      <w:r>
        <w:t>Un diagnostic portant sur les thèmes suivants …. sera réalisé sur le territoire de la CL afin de définir/d’enrichir son plan d’actions.</w:t>
      </w:r>
    </w:p>
    <w:p w:rsidR="00E67B49" w:rsidRDefault="00E67B49">
      <w:pPr>
        <w:pStyle w:val="Standard"/>
        <w:jc w:val="both"/>
      </w:pPr>
      <w:r>
        <w:t>Ou Le plan d’actions envisagé par CL est décrit en annexe 1 au présent contrat.</w:t>
      </w:r>
    </w:p>
    <w:p w:rsidR="00E67B49" w:rsidRDefault="00E67B49">
      <w:pPr>
        <w:pStyle w:val="Standard"/>
        <w:jc w:val="both"/>
      </w:pPr>
    </w:p>
    <w:p w:rsidR="00E67B49" w:rsidRDefault="00E67B49">
      <w:pPr>
        <w:pStyle w:val="Standard"/>
        <w:jc w:val="both"/>
      </w:pPr>
      <w:r>
        <w:t>Il comporte les actions principales suivantes (à adapter) :</w:t>
      </w:r>
    </w:p>
    <w:p w:rsidR="00E67B49" w:rsidRDefault="00E67B49">
      <w:pPr>
        <w:pStyle w:val="Standard"/>
        <w:jc w:val="both"/>
      </w:pPr>
    </w:p>
    <w:p w:rsidR="00E67B49" w:rsidRDefault="00E67B49">
      <w:pPr>
        <w:pStyle w:val="ListParagraph"/>
        <w:numPr>
          <w:ilvl w:val="0"/>
          <w:numId w:val="1"/>
          <w:numberingChange w:id="1" w:author="Unknown" w:date="2014-12-11T13:47:00Z" w:original="-"/>
        </w:numPr>
        <w:jc w:val="both"/>
      </w:pPr>
      <w:r>
        <w:t>Maîtrise de la demande en énergie, efficacité énergétique (dont rénovation énergétique des bâtiments) : à compléter,</w:t>
      </w:r>
    </w:p>
    <w:p w:rsidR="00E67B49" w:rsidRDefault="00E67B49">
      <w:pPr>
        <w:pStyle w:val="ListParagraph"/>
        <w:jc w:val="both"/>
      </w:pPr>
    </w:p>
    <w:p w:rsidR="00E67B49" w:rsidRDefault="00E67B49">
      <w:pPr>
        <w:pStyle w:val="ListParagraph"/>
        <w:numPr>
          <w:ilvl w:val="0"/>
          <w:numId w:val="1"/>
          <w:numberingChange w:id="2" w:author="Unknown" w:date="2014-12-22T15:25:00Z" w:original="-"/>
        </w:numPr>
        <w:jc w:val="both"/>
      </w:pPr>
      <w:r>
        <w:t>Développement des énergies renouvelables : à compléter,</w:t>
      </w:r>
    </w:p>
    <w:p w:rsidR="00E67B49" w:rsidRDefault="00E67B49">
      <w:pPr>
        <w:pStyle w:val="ListParagraph"/>
        <w:numPr>
          <w:ilvl w:val="0"/>
          <w:numId w:val="1"/>
          <w:numberingChange w:id="3" w:author="Unknown" w:date="2014-12-22T15:31:00Z" w:original="-"/>
        </w:numPr>
        <w:jc w:val="both"/>
      </w:pPr>
      <w:r>
        <w:t>Réduction des émissions de gaz à effet de serre, adaptation au changement climatique</w:t>
      </w:r>
    </w:p>
    <w:p w:rsidR="00E67B49" w:rsidRDefault="00E67B49">
      <w:pPr>
        <w:pStyle w:val="ListParagraph"/>
        <w:numPr>
          <w:ilvl w:val="0"/>
          <w:numId w:val="1"/>
          <w:numberingChange w:id="4" w:author="Unknown" w:date="2014-12-22T15:31:00Z" w:original="-"/>
        </w:numPr>
        <w:jc w:val="both"/>
      </w:pPr>
      <w:r>
        <w:t>Urbanisme, aménagement : à compléter</w:t>
      </w:r>
    </w:p>
    <w:p w:rsidR="00E67B49" w:rsidRDefault="00E67B49">
      <w:pPr>
        <w:pStyle w:val="ListParagraph"/>
        <w:numPr>
          <w:ilvl w:val="0"/>
          <w:numId w:val="1"/>
          <w:numberingChange w:id="5" w:author="Unknown" w:date="2014-12-22T15:31:00Z" w:original="-"/>
        </w:numPr>
        <w:jc w:val="both"/>
      </w:pPr>
      <w:r>
        <w:t>Mobilité durable : à compléter,</w:t>
      </w:r>
    </w:p>
    <w:p w:rsidR="00E67B49" w:rsidRDefault="00E67B49">
      <w:pPr>
        <w:pStyle w:val="ListParagraph"/>
        <w:numPr>
          <w:ilvl w:val="0"/>
          <w:numId w:val="1"/>
          <w:numberingChange w:id="6" w:author="Unknown" w:date="2014-12-22T15:31:00Z" w:original="-"/>
        </w:numPr>
        <w:jc w:val="both"/>
      </w:pPr>
      <w:r>
        <w:t>Education à l’environnement : à compléter</w:t>
      </w:r>
    </w:p>
    <w:p w:rsidR="00E67B49" w:rsidRDefault="00E67B49" w:rsidP="006C1071">
      <w:pPr>
        <w:pStyle w:val="ListParagraph"/>
        <w:numPr>
          <w:ilvl w:val="0"/>
          <w:numId w:val="1"/>
          <w:numberingChange w:id="7" w:author="Unknown" w:date="2014-12-22T15:31:00Z" w:original="-"/>
        </w:numPr>
        <w:jc w:val="both"/>
      </w:pPr>
      <w:r>
        <w:t>Economie circulaire, gestion des déchets, gestion des ressources : à compléter</w:t>
      </w:r>
    </w:p>
    <w:p w:rsidR="00E67B49" w:rsidRDefault="00E67B49">
      <w:pPr>
        <w:pStyle w:val="ListParagraph"/>
        <w:numPr>
          <w:ilvl w:val="0"/>
          <w:numId w:val="1"/>
          <w:numberingChange w:id="8" w:author="Unknown" w:date="2014-12-22T15:31:00Z" w:original="-"/>
        </w:numPr>
        <w:jc w:val="both"/>
      </w:pPr>
      <w:r>
        <w:t>Autres domaines (gestion de l’eau, prévention des risques, qualité de l’air etc…) : à compléter.</w:t>
      </w:r>
    </w:p>
    <w:p w:rsidR="00E67B49" w:rsidRDefault="00E67B49">
      <w:pPr>
        <w:pStyle w:val="ListParagraph"/>
      </w:pPr>
    </w:p>
    <w:p w:rsidR="00E67B49" w:rsidRDefault="00E67B49">
      <w:pPr>
        <w:pStyle w:val="Standard"/>
        <w:jc w:val="both"/>
      </w:pPr>
      <w:r>
        <w:rPr>
          <w:b/>
        </w:rPr>
        <w:t>Article 2. Soutien de l’Etat au plan d’actions.</w:t>
      </w:r>
    </w:p>
    <w:p w:rsidR="00E67B49" w:rsidRDefault="00E67B49">
      <w:pPr>
        <w:pStyle w:val="Standard"/>
        <w:jc w:val="both"/>
      </w:pPr>
    </w:p>
    <w:p w:rsidR="00E67B49" w:rsidRDefault="00E67B49">
      <w:pPr>
        <w:pStyle w:val="Standard"/>
        <w:jc w:val="both"/>
      </w:pPr>
      <w:r>
        <w:t>2.1 Soutien méthodologique</w:t>
      </w:r>
    </w:p>
    <w:p w:rsidR="00E67B49" w:rsidRDefault="00E67B49">
      <w:pPr>
        <w:pStyle w:val="Standard"/>
        <w:jc w:val="both"/>
      </w:pPr>
      <w:r>
        <w:t xml:space="preserve">L’Etat apportera un appui méthodologique à la définition et/ou à la mise en œuvre du plan d’actions de CL en mobilisant ses capacités d’expertise, tant des services déconcentrés de l’Etat que de ses établissements publics. L’Etat et CL définiront et actualiseront régulièrement les modalités et contenu de cet appui. </w:t>
      </w:r>
    </w:p>
    <w:p w:rsidR="00E67B49" w:rsidRDefault="00E67B49">
      <w:pPr>
        <w:pStyle w:val="Standard"/>
        <w:jc w:val="both"/>
      </w:pPr>
      <w:r>
        <w:t>Optionnel : une première description de l’appui méthodologique est jointe en annexe 2 au présent contrat.</w:t>
      </w:r>
    </w:p>
    <w:p w:rsidR="00E67B49" w:rsidRDefault="00E67B49">
      <w:pPr>
        <w:pStyle w:val="Standard"/>
        <w:jc w:val="both"/>
      </w:pPr>
    </w:p>
    <w:p w:rsidR="00E67B49" w:rsidRDefault="00E67B49">
      <w:pPr>
        <w:pStyle w:val="Standard"/>
        <w:jc w:val="both"/>
      </w:pPr>
      <w:r>
        <w:t>2.2 Soutien financier.</w:t>
      </w:r>
    </w:p>
    <w:p w:rsidR="00E67B49" w:rsidRDefault="00E67B49">
      <w:pPr>
        <w:pStyle w:val="Standard"/>
        <w:jc w:val="both"/>
      </w:pPr>
      <w:r>
        <w:t>L’Etat mobilisera, dans le respect des règles inhérentes, ses outils d’intervention directs et de ses établissements publics au profit du plan d’actions de CL. D’ores et déjà des premiers soutiens sont identifiés en annexe 3.</w:t>
      </w:r>
    </w:p>
    <w:p w:rsidR="00E67B49" w:rsidRDefault="00E67B49">
      <w:pPr>
        <w:pStyle w:val="Standard"/>
        <w:jc w:val="both"/>
      </w:pPr>
      <w:r>
        <w:t>Sur demande de CL, l’Etat pourra l’appuyer et l’orienter dans la recherche de financements complémentaires.</w:t>
      </w:r>
    </w:p>
    <w:p w:rsidR="00E67B49" w:rsidRDefault="00E67B49">
      <w:pPr>
        <w:pStyle w:val="Standard"/>
        <w:jc w:val="both"/>
      </w:pPr>
    </w:p>
    <w:p w:rsidR="00E67B49" w:rsidRDefault="00E67B49">
      <w:pPr>
        <w:pStyle w:val="Standard"/>
        <w:jc w:val="both"/>
      </w:pPr>
      <w:r>
        <w:t>2.3 Soutien à la mise en œuvre.</w:t>
      </w:r>
    </w:p>
    <w:p w:rsidR="00E67B49" w:rsidRDefault="00E67B49">
      <w:pPr>
        <w:pStyle w:val="Standard"/>
        <w:jc w:val="both"/>
      </w:pPr>
      <w:r>
        <w:t>L’Etat s’engage à faciliter la mise en œuvre des projets du plan d’actions, entre autres pour l’instruction des procédures réglementaires de son ressort, que les projets soient portés par CL ou un autre acteur.</w:t>
      </w:r>
    </w:p>
    <w:p w:rsidR="00E67B49" w:rsidRDefault="00E67B49">
      <w:pPr>
        <w:pStyle w:val="Standard"/>
        <w:jc w:val="both"/>
      </w:pPr>
      <w:r>
        <w:t>Un coordinateur chargé d’orienter les porteurs de projets qui le souhaitent vers les services et établissements compétents est désigné dans les services de l’Etat, Mme/M …, fonction.</w:t>
      </w:r>
    </w:p>
    <w:p w:rsidR="00E67B49" w:rsidRDefault="00E67B49">
      <w:pPr>
        <w:pStyle w:val="Standard"/>
        <w:jc w:val="both"/>
      </w:pPr>
      <w:r>
        <w:t>Un correspondant chargé de la mise en œuvre est désigné dans les services de CL. Ce correspondant et le coordinateur désigné par l’Etat échangent régulièrement sur la bonne mise en œuvre des projets.</w:t>
      </w:r>
    </w:p>
    <w:p w:rsidR="00E67B49" w:rsidRDefault="00E67B49">
      <w:pPr>
        <w:pStyle w:val="Standard"/>
        <w:jc w:val="both"/>
      </w:pPr>
    </w:p>
    <w:p w:rsidR="00E67B49" w:rsidRDefault="00E67B49">
      <w:pPr>
        <w:pStyle w:val="Standard"/>
        <w:jc w:val="both"/>
      </w:pPr>
      <w:r>
        <w:rPr>
          <w:b/>
        </w:rPr>
        <w:t>Article 3. Pilotage, coordination. Evaluation. Information et communication.</w:t>
      </w:r>
    </w:p>
    <w:p w:rsidR="00E67B49" w:rsidRDefault="00E67B49">
      <w:pPr>
        <w:pStyle w:val="Standard"/>
        <w:jc w:val="both"/>
      </w:pPr>
      <w:r>
        <w:t>3.1 L’Etat assure le suivi de l’ensemble des CLTE de la région via un comité de pilotage, qui se réunit au moins une fois par an, et peut s’appuyer sur des groupes de travail.</w:t>
      </w:r>
      <w:r w:rsidRPr="007A5EB7">
        <w:t xml:space="preserve"> </w:t>
      </w:r>
      <w:r>
        <w:t xml:space="preserve"> Les présidents des CL ayant signé le CLTE, ou leurs représentants, sont invités à ce comité de pilotage qui vise à assurer la bonne mise en œuvre et les éventuelles réorientations de leur CLTE. </w:t>
      </w:r>
    </w:p>
    <w:p w:rsidR="00E67B49" w:rsidRDefault="00E67B49">
      <w:pPr>
        <w:pStyle w:val="Standard"/>
        <w:jc w:val="both"/>
      </w:pPr>
    </w:p>
    <w:p w:rsidR="00E67B49" w:rsidRDefault="00E67B49">
      <w:pPr>
        <w:pStyle w:val="Standard"/>
        <w:jc w:val="both"/>
      </w:pPr>
      <w:r>
        <w:t>[3.2 Le plan d’actions et les projets qui le composent sont accompagnés d’indicateurs de résultats, en vue d’une évaluation de la bonne réalisation et de l’impact du plan d’actions. L’Etat et CL conviennent conjointement de ces indicateurs dans un délai maximum de trois mois après la signature de ce contrat.]</w:t>
      </w:r>
    </w:p>
    <w:p w:rsidR="00E67B49" w:rsidRDefault="00E67B49">
      <w:pPr>
        <w:pStyle w:val="Standard"/>
        <w:jc w:val="both"/>
      </w:pPr>
    </w:p>
    <w:p w:rsidR="00E67B49" w:rsidRDefault="00E67B49">
      <w:pPr>
        <w:pStyle w:val="Standard"/>
        <w:jc w:val="both"/>
      </w:pPr>
      <w:r>
        <w:t>3.3 Dans leur communication relative au plan d’actions et à ce contrat l’Etat et CL mentionnent systématiquement leur partenariat et recherchent une valorisation commune des actions engagées, en particulier dans une optique de diffusion des bonnes pratiques.</w:t>
      </w:r>
    </w:p>
    <w:p w:rsidR="00E67B49" w:rsidRDefault="00E67B49">
      <w:pPr>
        <w:pStyle w:val="Standard"/>
        <w:jc w:val="both"/>
      </w:pPr>
      <w:r>
        <w:t>CL diffusera sur son territoire l’information relative aux politiques de transition énergétique et aux outils d’accompagnement mis en œuvre par l’Etat, ses établissements publics et ses partenaires le cas échéant (crédit d’impôts, appels à projets, plans spécifiques de soutien…). CL et l’Etat pourront convenir d’actions de communication et information conjointes.</w:t>
      </w:r>
    </w:p>
    <w:p w:rsidR="00E67B49" w:rsidRDefault="00E67B49">
      <w:pPr>
        <w:pStyle w:val="Standard"/>
        <w:jc w:val="both"/>
      </w:pPr>
    </w:p>
    <w:p w:rsidR="00E67B49" w:rsidRDefault="00E67B49">
      <w:pPr>
        <w:pStyle w:val="Standard"/>
        <w:jc w:val="both"/>
      </w:pPr>
      <w:r>
        <w:t>3.4 Ce contrat est conclu pour une durée de n ans. [Sur proposition du comité de pilotage] l’Etat et CL peuvent décider de conclure des avenants à ce contrat, modifiant le contenu du contrat ainsi que le cas échéant sa durée.</w:t>
      </w:r>
    </w:p>
    <w:p w:rsidR="00E67B49" w:rsidRDefault="00E67B49">
      <w:pPr>
        <w:pStyle w:val="Standard"/>
        <w:jc w:val="both"/>
      </w:pPr>
    </w:p>
    <w:p w:rsidR="00E67B49" w:rsidRDefault="00E67B49">
      <w:pPr>
        <w:pStyle w:val="Standard"/>
        <w:jc w:val="both"/>
      </w:pPr>
      <w:r>
        <w:t xml:space="preserve">CL </w:t>
      </w:r>
    </w:p>
    <w:p w:rsidR="00E67B49" w:rsidRDefault="00E67B49">
      <w:pPr>
        <w:pStyle w:val="Standard"/>
        <w:jc w:val="both"/>
      </w:pPr>
      <w:r>
        <w:t>Fait à …</w:t>
      </w:r>
    </w:p>
    <w:p w:rsidR="00E67B49" w:rsidRDefault="00E67B49">
      <w:pPr>
        <w:pStyle w:val="Standard"/>
      </w:pPr>
    </w:p>
    <w:p w:rsidR="00E67B49" w:rsidRDefault="00E67B49">
      <w:pPr>
        <w:pStyle w:val="Standard"/>
        <w:pageBreakBefore/>
        <w:jc w:val="center"/>
      </w:pPr>
      <w:r>
        <w:rPr>
          <w:b/>
        </w:rPr>
        <w:t>Annexe 1. Plan d’actions</w:t>
      </w:r>
    </w:p>
    <w:p w:rsidR="00E67B49" w:rsidRDefault="00E67B49">
      <w:pPr>
        <w:pStyle w:val="Standard"/>
        <w:jc w:val="center"/>
      </w:pPr>
    </w:p>
    <w:p w:rsidR="00E67B49" w:rsidRDefault="00E67B49">
      <w:pPr>
        <w:pStyle w:val="Standard"/>
        <w:jc w:val="both"/>
      </w:pPr>
      <w:r>
        <w:t>Description des actions par thématiques, en indiquant autant que possible les calendriers et les indicateurs de résultat et d’impact</w:t>
      </w:r>
    </w:p>
    <w:p w:rsidR="00E67B49" w:rsidRDefault="00E67B49">
      <w:pPr>
        <w:pStyle w:val="Standard"/>
      </w:pPr>
    </w:p>
    <w:p w:rsidR="00E67B49" w:rsidRDefault="00E67B49">
      <w:pPr>
        <w:pStyle w:val="Standard"/>
        <w:pageBreakBefore/>
        <w:jc w:val="both"/>
      </w:pPr>
    </w:p>
    <w:p w:rsidR="00E67B49" w:rsidRDefault="00E67B49">
      <w:pPr>
        <w:pStyle w:val="Standard"/>
        <w:jc w:val="both"/>
      </w:pPr>
    </w:p>
    <w:p w:rsidR="00E67B49" w:rsidRDefault="00E67B49">
      <w:pPr>
        <w:pStyle w:val="Standard"/>
        <w:jc w:val="center"/>
      </w:pPr>
      <w:r>
        <w:rPr>
          <w:b/>
        </w:rPr>
        <w:t>Annexe 2. Collaboration et soutien méthodologiques</w:t>
      </w:r>
    </w:p>
    <w:p w:rsidR="00E67B49" w:rsidRDefault="00E67B49">
      <w:pPr>
        <w:pStyle w:val="Standard"/>
        <w:jc w:val="both"/>
      </w:pPr>
      <w:r>
        <w:t>Décrire les modalités de collaboration, dont les soutiens méthodologiques apportés par l’Etat et ses établissements publics.</w:t>
      </w:r>
    </w:p>
    <w:p w:rsidR="00E67B49" w:rsidRDefault="00E67B49" w:rsidP="007A5EB7">
      <w:pPr>
        <w:pStyle w:val="Standard"/>
      </w:pPr>
      <w:r>
        <w:t>D’une façon générale, les partenaires faciliteront par tout moyen à leur disposition l’atteinte des objectifs partagés.</w:t>
      </w:r>
    </w:p>
    <w:p w:rsidR="00E67B49" w:rsidRDefault="00E67B49" w:rsidP="007A5EB7">
      <w:pPr>
        <w:pStyle w:val="Standard"/>
      </w:pPr>
      <w:r>
        <w:t>Plus particulièrement, le rôle que chacun des partenaires entend jouer dans cette communauté de travail est celui-ci :</w:t>
      </w:r>
    </w:p>
    <w:p w:rsidR="00E67B49" w:rsidRDefault="00E67B49" w:rsidP="007A5EB7">
      <w:pPr>
        <w:pStyle w:val="Standard"/>
      </w:pPr>
    </w:p>
    <w:p w:rsidR="00E67B49" w:rsidRDefault="00E67B49" w:rsidP="007A5EB7">
      <w:pPr>
        <w:pStyle w:val="Standard"/>
      </w:pPr>
      <w:r>
        <w:t>- Ville :</w:t>
      </w:r>
    </w:p>
    <w:p w:rsidR="00E67B49" w:rsidRDefault="00E67B49" w:rsidP="007A5EB7">
      <w:pPr>
        <w:pStyle w:val="Standard"/>
      </w:pPr>
      <w:r>
        <w:tab/>
        <w:t>...</w:t>
      </w:r>
    </w:p>
    <w:p w:rsidR="00E67B49" w:rsidRDefault="00E67B49" w:rsidP="007A5EB7">
      <w:pPr>
        <w:pStyle w:val="Standard"/>
      </w:pPr>
    </w:p>
    <w:p w:rsidR="00E67B49" w:rsidRDefault="00E67B49" w:rsidP="007A5EB7">
      <w:pPr>
        <w:pStyle w:val="Standard"/>
      </w:pPr>
      <w:r>
        <w:t>- État :</w:t>
      </w:r>
    </w:p>
    <w:p w:rsidR="00E67B49" w:rsidRDefault="00E67B49" w:rsidP="007A5EB7">
      <w:pPr>
        <w:pStyle w:val="Standard"/>
      </w:pPr>
      <w:r>
        <w:tab/>
        <w:t>accompagnement ingénierie technique, administrative, juridique, financière, …</w:t>
      </w:r>
    </w:p>
    <w:p w:rsidR="00E67B49" w:rsidRDefault="00E67B49" w:rsidP="007A5EB7">
      <w:pPr>
        <w:pStyle w:val="Standard"/>
      </w:pPr>
      <w:r>
        <w:tab/>
        <w:t>Comité de suivi / participation au COTECH</w:t>
      </w:r>
    </w:p>
    <w:p w:rsidR="00E67B49" w:rsidRDefault="00E67B49" w:rsidP="007A5EB7">
      <w:pPr>
        <w:pStyle w:val="Standard"/>
      </w:pPr>
      <w:r>
        <w:tab/>
        <w:t>DDT sur conseil</w:t>
      </w:r>
    </w:p>
    <w:p w:rsidR="00E67B49" w:rsidRDefault="00E67B49" w:rsidP="007A5EB7">
      <w:pPr>
        <w:pStyle w:val="Standard"/>
      </w:pPr>
      <w:r>
        <w:tab/>
        <w:t>DREAL sur conseil, réglementations (code minier), TECV</w:t>
      </w:r>
    </w:p>
    <w:p w:rsidR="00E67B49" w:rsidRDefault="00E67B49" w:rsidP="007A5EB7">
      <w:pPr>
        <w:pStyle w:val="Standard"/>
      </w:pPr>
      <w:r>
        <w:tab/>
        <w:t>...</w:t>
      </w:r>
    </w:p>
    <w:p w:rsidR="00E67B49" w:rsidRDefault="00E67B49" w:rsidP="007A5EB7">
      <w:pPr>
        <w:pStyle w:val="Standard"/>
      </w:pPr>
    </w:p>
    <w:p w:rsidR="00E67B49" w:rsidRDefault="00E67B49" w:rsidP="007A5EB7">
      <w:pPr>
        <w:pStyle w:val="Standard"/>
      </w:pPr>
      <w:r>
        <w:t>- ADEME :</w:t>
      </w:r>
    </w:p>
    <w:p w:rsidR="00E67B49" w:rsidRDefault="00E67B49" w:rsidP="007A5EB7">
      <w:pPr>
        <w:pStyle w:val="Standard"/>
      </w:pPr>
      <w:r>
        <w:tab/>
        <w:t>accompagnement technique</w:t>
      </w:r>
    </w:p>
    <w:p w:rsidR="00E67B49" w:rsidRDefault="00E67B49" w:rsidP="007A5EB7">
      <w:pPr>
        <w:pStyle w:val="Standard"/>
      </w:pPr>
      <w:r>
        <w:tab/>
        <w:t>Financement des études (fonds chaleur)</w:t>
      </w:r>
    </w:p>
    <w:p w:rsidR="00E67B49" w:rsidRDefault="00E67B49" w:rsidP="007A5EB7">
      <w:pPr>
        <w:pStyle w:val="Standard"/>
      </w:pPr>
      <w:r>
        <w:tab/>
        <w:t>...</w:t>
      </w:r>
    </w:p>
    <w:p w:rsidR="00E67B49" w:rsidRDefault="00E67B49" w:rsidP="007A5EB7">
      <w:pPr>
        <w:pStyle w:val="Standard"/>
      </w:pPr>
    </w:p>
    <w:p w:rsidR="00E67B49" w:rsidRDefault="00E67B49" w:rsidP="007A5EB7">
      <w:pPr>
        <w:pStyle w:val="Standard"/>
      </w:pPr>
      <w:r>
        <w:t>- Conseil régional</w:t>
      </w:r>
    </w:p>
    <w:p w:rsidR="00E67B49" w:rsidRDefault="00E67B49" w:rsidP="007A5EB7">
      <w:pPr>
        <w:pStyle w:val="Standard"/>
      </w:pPr>
      <w:r>
        <w:tab/>
        <w:t>...</w:t>
      </w:r>
    </w:p>
    <w:p w:rsidR="00E67B49" w:rsidRDefault="00E67B49" w:rsidP="007A5EB7">
      <w:pPr>
        <w:pStyle w:val="Standard"/>
      </w:pPr>
    </w:p>
    <w:p w:rsidR="00E67B49" w:rsidRDefault="00E67B49" w:rsidP="007A5EB7">
      <w:pPr>
        <w:pStyle w:val="Standard"/>
      </w:pPr>
      <w:r>
        <w:t>- Conseil général :</w:t>
      </w:r>
    </w:p>
    <w:p w:rsidR="00E67B49" w:rsidRDefault="00E67B49" w:rsidP="007A5EB7">
      <w:pPr>
        <w:pStyle w:val="Standard"/>
      </w:pPr>
      <w:r>
        <w:tab/>
        <w:t>...</w:t>
      </w:r>
    </w:p>
    <w:p w:rsidR="00E67B49" w:rsidRDefault="00E67B49" w:rsidP="007A5EB7">
      <w:pPr>
        <w:pStyle w:val="Standard"/>
      </w:pPr>
    </w:p>
    <w:p w:rsidR="00E67B49" w:rsidRDefault="00E67B49" w:rsidP="007A5EB7">
      <w:pPr>
        <w:pStyle w:val="Standard"/>
      </w:pPr>
      <w:r>
        <w:t>- Agence technique départementale :</w:t>
      </w:r>
    </w:p>
    <w:p w:rsidR="00E67B49" w:rsidRDefault="00E67B49" w:rsidP="007A5EB7">
      <w:pPr>
        <w:pStyle w:val="Standard"/>
      </w:pPr>
      <w:r>
        <w:tab/>
        <w:t>...</w:t>
      </w:r>
    </w:p>
    <w:p w:rsidR="00E67B49" w:rsidRDefault="00E67B49" w:rsidP="007A5EB7">
      <w:pPr>
        <w:pStyle w:val="Standard"/>
      </w:pPr>
    </w:p>
    <w:p w:rsidR="00E67B49" w:rsidRDefault="00E67B49" w:rsidP="007A5EB7">
      <w:pPr>
        <w:pStyle w:val="Standard"/>
      </w:pPr>
      <w:r>
        <w:t>- Agence régionale de santé:</w:t>
      </w:r>
    </w:p>
    <w:p w:rsidR="00E67B49" w:rsidRDefault="00E67B49" w:rsidP="007A5EB7">
      <w:pPr>
        <w:pStyle w:val="Standard"/>
      </w:pPr>
      <w:r>
        <w:tab/>
        <w:t>...</w:t>
      </w:r>
    </w:p>
    <w:p w:rsidR="00E67B49" w:rsidRDefault="00E67B49" w:rsidP="007A5EB7">
      <w:pPr>
        <w:pStyle w:val="Standard"/>
      </w:pPr>
    </w:p>
    <w:p w:rsidR="00E67B49" w:rsidRDefault="00E67B49" w:rsidP="007A5EB7">
      <w:pPr>
        <w:pStyle w:val="Standard"/>
      </w:pPr>
      <w:r>
        <w:t>- Agence de l’eau</w:t>
      </w:r>
    </w:p>
    <w:p w:rsidR="00E67B49" w:rsidRDefault="00E67B49" w:rsidP="007A5EB7">
      <w:pPr>
        <w:pStyle w:val="Standard"/>
      </w:pPr>
      <w:r>
        <w:tab/>
        <w:t>...</w:t>
      </w:r>
    </w:p>
    <w:p w:rsidR="00E67B49" w:rsidRDefault="00E67B49" w:rsidP="007A5EB7">
      <w:pPr>
        <w:pStyle w:val="Standard"/>
      </w:pPr>
    </w:p>
    <w:p w:rsidR="00E67B49" w:rsidRDefault="00E67B49">
      <w:pPr>
        <w:pStyle w:val="Standard"/>
        <w:pageBreakBefore/>
        <w:jc w:val="both"/>
      </w:pPr>
    </w:p>
    <w:p w:rsidR="00E67B49" w:rsidRDefault="00E67B49">
      <w:pPr>
        <w:pStyle w:val="Standard"/>
        <w:jc w:val="center"/>
      </w:pPr>
      <w:r>
        <w:rPr>
          <w:b/>
        </w:rPr>
        <w:t>Annexe 3. Financement du plan d’actions</w:t>
      </w:r>
    </w:p>
    <w:p w:rsidR="00E67B49" w:rsidRDefault="00E67B49">
      <w:pPr>
        <w:pStyle w:val="Standard"/>
        <w:jc w:val="both"/>
      </w:pPr>
      <w:r>
        <w:t>Présentation des principales actions et de leur financement indicatif, dont les financements de soutien déjà décidés par l’Etat, ses établissements publics (ADEME, ANAH, CDC. BPI…).</w:t>
      </w:r>
    </w:p>
    <w:p w:rsidR="00E67B49" w:rsidRDefault="00E67B49">
      <w:pPr>
        <w:pStyle w:val="Standard"/>
        <w:jc w:val="center"/>
      </w:pPr>
    </w:p>
    <w:p w:rsidR="00E67B49" w:rsidRDefault="00E67B49">
      <w:pPr>
        <w:pStyle w:val="Standard"/>
        <w:jc w:val="center"/>
      </w:pPr>
    </w:p>
    <w:p w:rsidR="00E67B49" w:rsidRDefault="00E67B49">
      <w:pPr>
        <w:pStyle w:val="Standard"/>
        <w:jc w:val="both"/>
      </w:pPr>
      <w:r>
        <w:t xml:space="preserve"> </w:t>
      </w:r>
    </w:p>
    <w:sectPr w:rsidR="00E67B49" w:rsidSect="0052124A">
      <w:pgSz w:w="11906" w:h="16838"/>
      <w:pgMar w:top="1417" w:right="1417" w:bottom="1417" w:left="1417"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C6FE4"/>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589F22C6"/>
    <w:multiLevelType w:val="multilevel"/>
    <w:tmpl w:val="FFFFFFF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124A"/>
    <w:rsid w:val="000B20B7"/>
    <w:rsid w:val="004B0E8E"/>
    <w:rsid w:val="0052124A"/>
    <w:rsid w:val="0060031C"/>
    <w:rsid w:val="006C1071"/>
    <w:rsid w:val="007A5EB7"/>
    <w:rsid w:val="008515F8"/>
    <w:rsid w:val="008F30F6"/>
    <w:rsid w:val="00935ABA"/>
    <w:rsid w:val="00971231"/>
    <w:rsid w:val="009872FC"/>
    <w:rsid w:val="009F71D5"/>
    <w:rsid w:val="00E67B49"/>
    <w:rsid w:val="00FC3E8B"/>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BA"/>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52124A"/>
    <w:pPr>
      <w:tabs>
        <w:tab w:val="left" w:pos="708"/>
      </w:tabs>
      <w:suppressAutoHyphens/>
      <w:spacing w:after="200" w:line="276" w:lineRule="auto"/>
    </w:pPr>
    <w:rPr>
      <w:color w:val="00000A"/>
      <w:lang w:eastAsia="en-US"/>
    </w:rPr>
  </w:style>
  <w:style w:type="character" w:customStyle="1" w:styleId="ListLabel1">
    <w:name w:val="ListLabel 1"/>
    <w:uiPriority w:val="99"/>
    <w:rsid w:val="0052124A"/>
    <w:rPr>
      <w:rFonts w:eastAsia="Times New Roman"/>
    </w:rPr>
  </w:style>
  <w:style w:type="character" w:customStyle="1" w:styleId="ListLabel2">
    <w:name w:val="ListLabel 2"/>
    <w:uiPriority w:val="99"/>
    <w:rsid w:val="0052124A"/>
  </w:style>
  <w:style w:type="character" w:customStyle="1" w:styleId="ListLabel3">
    <w:name w:val="ListLabel 3"/>
    <w:uiPriority w:val="99"/>
    <w:rsid w:val="0052124A"/>
  </w:style>
  <w:style w:type="character" w:customStyle="1" w:styleId="ListLabel4">
    <w:name w:val="ListLabel 4"/>
    <w:uiPriority w:val="99"/>
    <w:rsid w:val="0052124A"/>
  </w:style>
  <w:style w:type="character" w:customStyle="1" w:styleId="ListLabel5">
    <w:name w:val="ListLabel 5"/>
    <w:uiPriority w:val="99"/>
    <w:rsid w:val="0052124A"/>
  </w:style>
  <w:style w:type="paragraph" w:styleId="Title">
    <w:name w:val="Title"/>
    <w:basedOn w:val="Standard"/>
    <w:next w:val="BodyText"/>
    <w:link w:val="TitleChar"/>
    <w:uiPriority w:val="99"/>
    <w:qFormat/>
    <w:rsid w:val="0052124A"/>
    <w:pPr>
      <w:keepNext/>
      <w:spacing w:before="240" w:after="120"/>
    </w:pPr>
    <w:rPr>
      <w:rFonts w:ascii="Liberation Sans" w:eastAsia="Microsoft YaHei" w:hAnsi="Liberation Sans" w:cs="Mangal"/>
      <w:sz w:val="28"/>
      <w:szCs w:val="28"/>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BodyText">
    <w:name w:val="Body Text"/>
    <w:basedOn w:val="Standard"/>
    <w:link w:val="BodyTextChar"/>
    <w:uiPriority w:val="99"/>
    <w:rsid w:val="0052124A"/>
    <w:pPr>
      <w:spacing w:after="120"/>
    </w:pPr>
  </w:style>
  <w:style w:type="character" w:customStyle="1" w:styleId="BodyTextChar">
    <w:name w:val="Body Text Char"/>
    <w:basedOn w:val="DefaultParagraphFont"/>
    <w:link w:val="BodyText"/>
    <w:uiPriority w:val="99"/>
    <w:semiHidden/>
    <w:locked/>
    <w:rPr>
      <w:rFonts w:cs="Times New Roman"/>
    </w:rPr>
  </w:style>
  <w:style w:type="paragraph" w:styleId="List">
    <w:name w:val="List"/>
    <w:basedOn w:val="BodyText"/>
    <w:uiPriority w:val="99"/>
    <w:rsid w:val="0052124A"/>
    <w:rPr>
      <w:rFonts w:ascii="Liberation Sans" w:hAnsi="Liberation Sans" w:cs="Mangal"/>
    </w:rPr>
  </w:style>
  <w:style w:type="paragraph" w:styleId="Caption">
    <w:name w:val="caption"/>
    <w:basedOn w:val="Standard"/>
    <w:uiPriority w:val="99"/>
    <w:qFormat/>
    <w:rsid w:val="0052124A"/>
    <w:pPr>
      <w:suppressLineNumbers/>
      <w:spacing w:before="120" w:after="120"/>
    </w:pPr>
    <w:rPr>
      <w:rFonts w:ascii="Liberation Sans" w:hAnsi="Liberation Sans" w:cs="Mangal"/>
      <w:i/>
      <w:iCs/>
      <w:sz w:val="24"/>
      <w:szCs w:val="24"/>
    </w:rPr>
  </w:style>
  <w:style w:type="paragraph" w:customStyle="1" w:styleId="Index">
    <w:name w:val="Index"/>
    <w:basedOn w:val="Standard"/>
    <w:uiPriority w:val="99"/>
    <w:rsid w:val="0052124A"/>
    <w:pPr>
      <w:suppressLineNumbers/>
    </w:pPr>
    <w:rPr>
      <w:rFonts w:ascii="Liberation Sans" w:hAnsi="Liberation Sans" w:cs="Mangal"/>
    </w:rPr>
  </w:style>
  <w:style w:type="paragraph" w:styleId="ListParagraph">
    <w:name w:val="List Paragraph"/>
    <w:basedOn w:val="Standard"/>
    <w:uiPriority w:val="99"/>
    <w:qFormat/>
    <w:rsid w:val="0052124A"/>
    <w:pPr>
      <w:ind w:left="720"/>
    </w:pPr>
  </w:style>
  <w:style w:type="paragraph" w:styleId="BalloonText">
    <w:name w:val="Balloon Text"/>
    <w:basedOn w:val="Normal"/>
    <w:link w:val="BalloonTextChar"/>
    <w:uiPriority w:val="99"/>
    <w:semiHidden/>
    <w:rsid w:val="009F71D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TotalTime>
  <Pages>7</Pages>
  <Words>946</Words>
  <Characters>5206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contrat local de transition énergétique/écologique</dc:title>
  <dc:subject/>
  <dc:creator>Laurent</dc:creator>
  <cp:keywords/>
  <dc:description/>
  <cp:lastModifiedBy>MEDDE</cp:lastModifiedBy>
  <cp:revision>8</cp:revision>
  <cp:lastPrinted>2014-12-22T14:26:00Z</cp:lastPrinted>
  <dcterms:created xsi:type="dcterms:W3CDTF">2014-12-11T11:16:00Z</dcterms:created>
  <dcterms:modified xsi:type="dcterms:W3CDTF">2014-12-22T14:48:00Z</dcterms:modified>
</cp:coreProperties>
</file>