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3B9" w:rsidRDefault="00E363B9">
      <w:pPr>
        <w:pStyle w:val="Standard"/>
        <w:jc w:val="both"/>
      </w:pPr>
      <w:r>
        <w:rPr>
          <w:rFonts w:ascii="Liberation Sans" w:hAnsi="Liberation Sans"/>
          <w:b/>
          <w:sz w:val="20"/>
          <w:szCs w:val="20"/>
        </w:rPr>
        <w:tab/>
      </w:r>
      <w:r>
        <w:rPr>
          <w:rFonts w:ascii="Liberation Sans" w:hAnsi="Liberation Sans"/>
          <w:b/>
          <w:sz w:val="20"/>
          <w:szCs w:val="20"/>
        </w:rPr>
        <w:tab/>
      </w:r>
    </w:p>
    <w:tbl>
      <w:tblPr>
        <w:tblW w:w="0" w:type="auto"/>
        <w:tblInd w:w="-216" w:type="dxa"/>
        <w:tblCellMar>
          <w:left w:w="10" w:type="dxa"/>
          <w:right w:w="10" w:type="dxa"/>
        </w:tblCellMar>
        <w:tblLook w:val="0000"/>
      </w:tblPr>
      <w:tblGrid>
        <w:gridCol w:w="1960"/>
        <w:gridCol w:w="6246"/>
        <w:gridCol w:w="2686"/>
      </w:tblGrid>
      <w:tr w:rsidR="00E363B9" w:rsidRPr="00F36F05">
        <w:tc>
          <w:tcPr>
            <w:tcW w:w="1960" w:type="dxa"/>
            <w:shd w:val="clear" w:color="auto" w:fill="FFFFFF"/>
            <w:tcMar>
              <w:top w:w="0" w:type="dxa"/>
              <w:left w:w="108" w:type="dxa"/>
              <w:bottom w:w="0" w:type="dxa"/>
              <w:right w:w="108" w:type="dxa"/>
            </w:tcMar>
          </w:tcPr>
          <w:p w:rsidR="00E363B9" w:rsidRDefault="00E363B9">
            <w:pPr>
              <w:pStyle w:val="Standard"/>
              <w:jc w:val="both"/>
            </w:pPr>
          </w:p>
        </w:tc>
        <w:tc>
          <w:tcPr>
            <w:tcW w:w="6246" w:type="dxa"/>
            <w:shd w:val="clear" w:color="auto" w:fill="FFFFFF"/>
            <w:tcMar>
              <w:top w:w="0" w:type="dxa"/>
              <w:left w:w="108" w:type="dxa"/>
              <w:bottom w:w="0" w:type="dxa"/>
              <w:right w:w="108" w:type="dxa"/>
            </w:tcMar>
          </w:tcPr>
          <w:p w:rsidR="00E363B9" w:rsidRDefault="00E363B9">
            <w:pPr>
              <w:pStyle w:val="Standard"/>
              <w:jc w:val="center"/>
            </w:pPr>
          </w:p>
          <w:p w:rsidR="00E363B9" w:rsidRDefault="00E363B9">
            <w:pPr>
              <w:pStyle w:val="Standard"/>
              <w:jc w:val="center"/>
            </w:pPr>
          </w:p>
          <w:p w:rsidR="00E363B9" w:rsidRDefault="00E363B9">
            <w:pPr>
              <w:pStyle w:val="Standard"/>
              <w:jc w:val="center"/>
            </w:pPr>
            <w:r>
              <w:rPr>
                <w:rFonts w:ascii="Liberation Sans" w:hAnsi="Liberation Sans"/>
                <w:b/>
                <w:u w:val="single"/>
              </w:rPr>
              <w:t xml:space="preserve">PRINCIPAUX DISPOSITIFS D’AIDE POUR </w:t>
            </w:r>
            <w:smartTag w:uri="urn:schemas-microsoft-com:office:smarttags" w:element="PersonName">
              <w:smartTagPr>
                <w:attr w:name="ProductID" w:val="LA TRANSITION ENERGETIQUE"/>
              </w:smartTagPr>
              <w:r>
                <w:rPr>
                  <w:rFonts w:ascii="Liberation Sans" w:hAnsi="Liberation Sans"/>
                  <w:b/>
                  <w:u w:val="single"/>
                </w:rPr>
                <w:t>LA TRANSITION ENERGETIQUE</w:t>
              </w:r>
            </w:smartTag>
          </w:p>
          <w:p w:rsidR="00E363B9" w:rsidRDefault="00E363B9" w:rsidP="00695341">
            <w:pPr>
              <w:pStyle w:val="Standard"/>
              <w:jc w:val="center"/>
            </w:pPr>
            <w:r>
              <w:t>A destination des collectivités et des entreprises</w:t>
            </w:r>
          </w:p>
          <w:p w:rsidR="00E363B9" w:rsidRDefault="00E363B9">
            <w:pPr>
              <w:pStyle w:val="Standard"/>
              <w:jc w:val="center"/>
            </w:pPr>
          </w:p>
        </w:tc>
        <w:tc>
          <w:tcPr>
            <w:tcW w:w="2686" w:type="dxa"/>
            <w:shd w:val="clear" w:color="auto" w:fill="FFFFFF"/>
            <w:tcMar>
              <w:top w:w="0" w:type="dxa"/>
              <w:left w:w="108" w:type="dxa"/>
              <w:bottom w:w="0" w:type="dxa"/>
              <w:right w:w="108" w:type="dxa"/>
            </w:tcMar>
          </w:tcPr>
          <w:p w:rsidR="00E363B9" w:rsidRDefault="00E363B9">
            <w:pPr>
              <w:pStyle w:val="Standard"/>
              <w:jc w:val="center"/>
            </w:pPr>
          </w:p>
        </w:tc>
      </w:tr>
    </w:tbl>
    <w:p w:rsidR="00E363B9" w:rsidRDefault="00E363B9">
      <w:pPr>
        <w:pStyle w:val="Standard"/>
        <w:jc w:val="both"/>
      </w:pPr>
      <w:r>
        <w:rPr>
          <w:rFonts w:ascii="Liberation Sans" w:hAnsi="Liberation Sans"/>
          <w:b/>
          <w:sz w:val="20"/>
          <w:szCs w:val="20"/>
        </w:rPr>
        <w:tab/>
      </w:r>
    </w:p>
    <w:p w:rsidR="00E363B9" w:rsidRDefault="00E363B9">
      <w:pPr>
        <w:pStyle w:val="Standard"/>
        <w:jc w:val="both"/>
      </w:pPr>
    </w:p>
    <w:p w:rsidR="00E363B9" w:rsidRDefault="00E363B9">
      <w:pPr>
        <w:pStyle w:val="Standard"/>
        <w:jc w:val="both"/>
      </w:pPr>
    </w:p>
    <w:p w:rsidR="00E363B9" w:rsidRDefault="00E363B9">
      <w:pPr>
        <w:pStyle w:val="ListParagraph"/>
        <w:jc w:val="both"/>
      </w:pPr>
    </w:p>
    <w:p w:rsidR="00E363B9" w:rsidRDefault="00E363B9">
      <w:pPr>
        <w:pStyle w:val="ListParagraph"/>
        <w:numPr>
          <w:ilvl w:val="1"/>
          <w:numId w:val="2"/>
        </w:numPr>
        <w:shd w:val="clear" w:color="auto" w:fill="D9D9D9"/>
        <w:jc w:val="both"/>
      </w:pPr>
      <w:r>
        <w:rPr>
          <w:rFonts w:ascii="Liberation Sans" w:hAnsi="Liberation Sans"/>
          <w:b/>
          <w:sz w:val="20"/>
          <w:szCs w:val="20"/>
          <w:u w:val="single"/>
        </w:rPr>
        <w:t>Soutien aux énergies renouvelables : fonds chaleur</w:t>
      </w:r>
    </w:p>
    <w:p w:rsidR="00E363B9" w:rsidRDefault="00E363B9">
      <w:pPr>
        <w:pStyle w:val="Standard"/>
        <w:jc w:val="both"/>
      </w:pPr>
    </w:p>
    <w:p w:rsidR="00E363B9" w:rsidRDefault="00E363B9">
      <w:pPr>
        <w:pStyle w:val="Standard"/>
        <w:jc w:val="both"/>
      </w:pPr>
      <w:r>
        <w:rPr>
          <w:rFonts w:ascii="Liberation Sans" w:hAnsi="Liberation Sans"/>
          <w:sz w:val="20"/>
          <w:szCs w:val="20"/>
        </w:rPr>
        <w:t>Le fonds chaleur soutient le développement de l’utilisation de la biomasse (sylvicole, agricole, biogaz…), de la géothermie (en utilisation directe ou par le biais de pompes à chaleur), du solaire thermique, des énergies de récupération, ainsi que le développement des réseaux de chaleur utilisant ces énergies.</w:t>
      </w:r>
    </w:p>
    <w:p w:rsidR="00E363B9" w:rsidRDefault="00E363B9">
      <w:pPr>
        <w:pStyle w:val="Standard"/>
        <w:jc w:val="both"/>
      </w:pPr>
    </w:p>
    <w:p w:rsidR="00E363B9" w:rsidRDefault="00E363B9">
      <w:pPr>
        <w:pStyle w:val="Standard"/>
        <w:jc w:val="both"/>
      </w:pPr>
      <w:r>
        <w:rPr>
          <w:rFonts w:ascii="Liberation Sans" w:hAnsi="Liberation Sans"/>
          <w:sz w:val="20"/>
          <w:szCs w:val="20"/>
        </w:rPr>
        <w:t>Les secteurs concernés sont l’habitat collectif, le tertiaire, l’agriculture et l’industrie.</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 xml:space="preserve">Cible : </w:t>
      </w:r>
    </w:p>
    <w:p w:rsidR="00E363B9" w:rsidRDefault="00E363B9">
      <w:pPr>
        <w:pStyle w:val="Standard"/>
        <w:jc w:val="both"/>
      </w:pPr>
      <w:r>
        <w:rPr>
          <w:rFonts w:ascii="Liberation Sans" w:hAnsi="Liberation Sans"/>
          <w:sz w:val="20"/>
          <w:szCs w:val="20"/>
        </w:rPr>
        <w:t xml:space="preserve">Toute cible, hors particulier, répondant majoritairement à : </w:t>
      </w:r>
    </w:p>
    <w:p w:rsidR="00E363B9" w:rsidRDefault="00E363B9">
      <w:pPr>
        <w:pStyle w:val="Standard"/>
        <w:jc w:val="both"/>
      </w:pPr>
      <w:r>
        <w:rPr>
          <w:rFonts w:ascii="Liberation Sans" w:hAnsi="Liberation Sans"/>
          <w:sz w:val="20"/>
          <w:szCs w:val="20"/>
        </w:rPr>
        <w:t xml:space="preserve">- appels à projet nationaux à destination des entreprises pour les plus gros projets biomasse (supérieure à 1 000 tep/an), notamment l’appel Biomasse Chaleur Industrie Agriculture et Tertiaire (BCIAT) </w:t>
      </w:r>
    </w:p>
    <w:p w:rsidR="00E363B9" w:rsidRDefault="00E363B9">
      <w:pPr>
        <w:pStyle w:val="Standard"/>
        <w:jc w:val="both"/>
      </w:pPr>
      <w:r>
        <w:rPr>
          <w:rFonts w:ascii="Liberation Sans" w:hAnsi="Liberation Sans"/>
          <w:sz w:val="20"/>
          <w:szCs w:val="20"/>
        </w:rPr>
        <w:t>- appels à projet régionaux gérés au niveau régional par les directions régionales de l'ADEME en synergie avec les régions.</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 xml:space="preserve">Aide : </w:t>
      </w:r>
    </w:p>
    <w:p w:rsidR="00E363B9" w:rsidRDefault="00E363B9">
      <w:pPr>
        <w:pStyle w:val="Standard"/>
        <w:jc w:val="both"/>
      </w:pPr>
      <w:r>
        <w:rPr>
          <w:rFonts w:ascii="Liberation Sans" w:hAnsi="Liberation Sans"/>
          <w:sz w:val="20"/>
          <w:szCs w:val="20"/>
        </w:rPr>
        <w:t>30 à 40% permettant d’atteindre un prix de chaleur inférieur de 5% au prix de l’énergie de référence.</w:t>
      </w:r>
    </w:p>
    <w:p w:rsidR="00E363B9" w:rsidRDefault="00E363B9">
      <w:pPr>
        <w:pStyle w:val="Standard"/>
        <w:jc w:val="both"/>
      </w:pPr>
      <w:r>
        <w:rPr>
          <w:rFonts w:ascii="Liberation Sans" w:hAnsi="Liberation Sans"/>
          <w:sz w:val="20"/>
          <w:szCs w:val="20"/>
        </w:rPr>
        <w:t>Les aides du fonds chaleur s’inscrivent dans le respect des règles communautaires d’encadrement des aides publiques. Elles ne sont cumulables ni avec les certificats d’économies d’énergie (CEE), ni avec les projets domestiques.</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 xml:space="preserve">Gestionnaire du fonds : </w:t>
      </w:r>
      <w:r>
        <w:rPr>
          <w:rFonts w:ascii="Liberation Sans" w:hAnsi="Liberation Sans"/>
          <w:b/>
          <w:sz w:val="20"/>
          <w:szCs w:val="20"/>
        </w:rPr>
        <w:t>Ademe</w:t>
      </w:r>
    </w:p>
    <w:p w:rsidR="00E363B9" w:rsidRDefault="00E363B9">
      <w:pPr>
        <w:pStyle w:val="Standard"/>
        <w:jc w:val="both"/>
      </w:pPr>
    </w:p>
    <w:p w:rsidR="00E363B9" w:rsidRDefault="00E363B9">
      <w:pPr>
        <w:pStyle w:val="Standard"/>
        <w:jc w:val="both"/>
      </w:pPr>
      <w:r>
        <w:rPr>
          <w:rFonts w:ascii="Liberation Sans" w:hAnsi="Liberation Sans"/>
          <w:b/>
          <w:sz w:val="20"/>
          <w:szCs w:val="20"/>
        </w:rPr>
        <w:t xml:space="preserve">Site : </w:t>
      </w:r>
      <w:hyperlink r:id="rId7">
        <w:r>
          <w:rPr>
            <w:rStyle w:val="LienInternet"/>
            <w:rFonts w:ascii="Liberation Sans" w:hAnsi="Liberation Sans" w:cs="Arial"/>
            <w:b/>
            <w:sz w:val="20"/>
            <w:szCs w:val="20"/>
          </w:rPr>
          <w:t>http://www.developpement-durable.gouv.fr/Presentation-generale,25027.html</w:t>
        </w:r>
      </w:hyperlink>
    </w:p>
    <w:p w:rsidR="00E363B9" w:rsidRDefault="00E363B9">
      <w:pPr>
        <w:pStyle w:val="Standard"/>
        <w:jc w:val="both"/>
      </w:pPr>
    </w:p>
    <w:p w:rsidR="00E363B9" w:rsidRDefault="00E363B9">
      <w:pPr>
        <w:pStyle w:val="Standard"/>
        <w:shd w:val="clear" w:color="auto" w:fill="FFFFFF"/>
        <w:jc w:val="both"/>
      </w:pPr>
    </w:p>
    <w:p w:rsidR="00E363B9" w:rsidRDefault="00E363B9">
      <w:pPr>
        <w:pStyle w:val="Standard"/>
        <w:shd w:val="clear" w:color="auto" w:fill="FFFFFF"/>
        <w:jc w:val="both"/>
      </w:pPr>
    </w:p>
    <w:p w:rsidR="00E363B9" w:rsidRDefault="00E363B9">
      <w:pPr>
        <w:pStyle w:val="ListParagraph"/>
        <w:numPr>
          <w:ilvl w:val="1"/>
          <w:numId w:val="2"/>
        </w:numPr>
        <w:shd w:val="clear" w:color="auto" w:fill="D9D9D9"/>
        <w:jc w:val="both"/>
      </w:pPr>
      <w:r>
        <w:rPr>
          <w:rFonts w:ascii="Liberation Sans" w:hAnsi="Liberation Sans"/>
          <w:b/>
          <w:sz w:val="20"/>
          <w:szCs w:val="20"/>
          <w:u w:val="single"/>
        </w:rPr>
        <w:t>Rénovation énergétique de l’Habitat </w:t>
      </w:r>
    </w:p>
    <w:p w:rsidR="00E363B9" w:rsidRDefault="00E363B9">
      <w:pPr>
        <w:pStyle w:val="Standard"/>
        <w:jc w:val="both"/>
      </w:pPr>
      <w:r>
        <w:rPr>
          <w:rFonts w:ascii="Liberation Sans" w:hAnsi="Liberation Sans"/>
          <w:sz w:val="20"/>
          <w:szCs w:val="20"/>
        </w:rPr>
        <w:t>Le plan de rénovation énergétique de l’habitat (PREH) a été mis en place pour atteindre l’objectif de rénover 500 000 logements par an à l’horizon 2017, dont 120 000 logements sociaux et 380 000 logements privés. Un guide de l’ensemble des aides financières est disponible au lien suivant</w:t>
      </w:r>
    </w:p>
    <w:p w:rsidR="00E363B9" w:rsidRDefault="00E363B9">
      <w:pPr>
        <w:pStyle w:val="Standard"/>
        <w:jc w:val="both"/>
      </w:pPr>
      <w:hyperlink r:id="rId8">
        <w:r>
          <w:rPr>
            <w:rStyle w:val="LienInternet"/>
            <w:rFonts w:ascii="Liberation Sans" w:hAnsi="Liberation Sans" w:cs="Arial"/>
            <w:sz w:val="20"/>
            <w:szCs w:val="20"/>
          </w:rPr>
          <w:t>http://www.developpement-durable.gouv.fr/IMG/pdf/Guide-aides-financieres_jeco-renove_mai_2014.pdf</w:t>
        </w:r>
      </w:hyperlink>
    </w:p>
    <w:p w:rsidR="00E363B9" w:rsidRDefault="00E363B9">
      <w:pPr>
        <w:pStyle w:val="Standard"/>
        <w:jc w:val="both"/>
        <w:rPr>
          <w:rFonts w:ascii="Liberation Sans" w:hAnsi="Liberation Sans"/>
          <w:sz w:val="20"/>
          <w:szCs w:val="20"/>
        </w:rPr>
      </w:pPr>
      <w:hyperlink r:id="rId9" w:history="1">
        <w:r w:rsidRPr="004252A6">
          <w:rPr>
            <w:rFonts w:ascii="Liberation Sans" w:hAnsi="Liberation Sans"/>
            <w:sz w:val="20"/>
            <w:szCs w:val="20"/>
          </w:rPr>
          <w:t>http://renovation-info-service.gouv.fr/</w:t>
        </w:r>
      </w:hyperlink>
    </w:p>
    <w:p w:rsidR="00E363B9" w:rsidRDefault="00E363B9">
      <w:pPr>
        <w:pStyle w:val="Standard"/>
        <w:jc w:val="both"/>
      </w:pPr>
    </w:p>
    <w:p w:rsidR="00E363B9" w:rsidRDefault="00E363B9">
      <w:pPr>
        <w:pStyle w:val="ListParagraph"/>
        <w:numPr>
          <w:ilvl w:val="2"/>
          <w:numId w:val="2"/>
        </w:numPr>
        <w:jc w:val="both"/>
      </w:pPr>
      <w:r>
        <w:rPr>
          <w:rFonts w:ascii="Liberation Sans" w:hAnsi="Liberation Sans"/>
          <w:b/>
          <w:sz w:val="20"/>
          <w:szCs w:val="20"/>
        </w:rPr>
        <w:t xml:space="preserve">Rénovation thermique de logements sociaux : l’éco-prêt de </w:t>
      </w:r>
      <w:smartTag w:uri="urn:schemas-microsoft-com:office:smarttags" w:element="PersonName">
        <w:smartTagPr>
          <w:attr w:name="ProductID" w:val="la Caisse"/>
        </w:smartTagPr>
        <w:r>
          <w:rPr>
            <w:rFonts w:ascii="Liberation Sans" w:hAnsi="Liberation Sans"/>
            <w:b/>
            <w:sz w:val="20"/>
            <w:szCs w:val="20"/>
          </w:rPr>
          <w:t>la Caisse</w:t>
        </w:r>
      </w:smartTag>
      <w:r>
        <w:rPr>
          <w:rFonts w:ascii="Liberation Sans" w:hAnsi="Liberation Sans"/>
          <w:b/>
          <w:sz w:val="20"/>
          <w:szCs w:val="20"/>
        </w:rPr>
        <w:t xml:space="preserve"> des Dépôts</w:t>
      </w:r>
    </w:p>
    <w:p w:rsidR="00E363B9" w:rsidRDefault="00E363B9">
      <w:pPr>
        <w:pStyle w:val="ListParagraph"/>
        <w:jc w:val="both"/>
      </w:pPr>
    </w:p>
    <w:p w:rsidR="00E363B9" w:rsidRDefault="00E363B9">
      <w:pPr>
        <w:pStyle w:val="Standard"/>
      </w:pPr>
      <w:smartTag w:uri="urn:schemas-microsoft-com:office:smarttags" w:element="PersonName">
        <w:smartTagPr>
          <w:attr w:name="ProductID" w:val="la Caisse"/>
        </w:smartTagPr>
        <w:r>
          <w:rPr>
            <w:rFonts w:ascii="Liberation Sans" w:hAnsi="Liberation Sans"/>
            <w:bCs/>
            <w:color w:val="00000A"/>
            <w:sz w:val="20"/>
            <w:szCs w:val="20"/>
            <w:lang w:eastAsia="en-US"/>
          </w:rPr>
          <w:t>La Caisse</w:t>
        </w:r>
      </w:smartTag>
      <w:r>
        <w:rPr>
          <w:rFonts w:ascii="Liberation Sans" w:hAnsi="Liberation Sans"/>
          <w:bCs/>
          <w:color w:val="00000A"/>
          <w:sz w:val="20"/>
          <w:szCs w:val="20"/>
          <w:lang w:eastAsia="en-US"/>
        </w:rPr>
        <w:t xml:space="preserve"> des Dépôts propose depuis 2009 des prêts à des taux très bonifiés, les éco-prêts, </w:t>
      </w:r>
      <w:r>
        <w:rPr>
          <w:rFonts w:ascii="Liberation Sans" w:hAnsi="Liberation Sans"/>
          <w:bCs/>
          <w:sz w:val="20"/>
          <w:szCs w:val="20"/>
          <w:lang w:eastAsia="en-US"/>
        </w:rPr>
        <w:t>permettant de financer les opérations de réhabilitation thermique de logements, avec un gain énergétique minimum attendu et une cible de consommation à atteindre</w:t>
      </w:r>
      <w:bookmarkStart w:id="0" w:name="_GoBack"/>
      <w:bookmarkEnd w:id="0"/>
      <w:r>
        <w:rPr>
          <w:rFonts w:ascii="Liberation Sans" w:hAnsi="Liberation Sans"/>
          <w:bCs/>
          <w:sz w:val="20"/>
          <w:szCs w:val="20"/>
          <w:lang w:eastAsia="en-US"/>
        </w:rPr>
        <w:t>.</w:t>
      </w:r>
      <w:r>
        <w:rPr>
          <w:rFonts w:ascii="Liberation Sans" w:hAnsi="Liberation Sans"/>
          <w:bCs/>
          <w:color w:val="00000A"/>
          <w:sz w:val="20"/>
          <w:szCs w:val="20"/>
          <w:lang w:eastAsia="en-US"/>
        </w:rPr>
        <w:t xml:space="preserve"> </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Cible</w:t>
      </w:r>
      <w:r>
        <w:rPr>
          <w:rFonts w:ascii="Liberation Sans" w:hAnsi="Liberation Sans"/>
          <w:sz w:val="20"/>
          <w:szCs w:val="20"/>
        </w:rPr>
        <w:t xml:space="preserve"> : </w:t>
      </w:r>
      <w:r>
        <w:rPr>
          <w:rFonts w:ascii="Liberation Sans" w:hAnsi="Liberation Sans"/>
          <w:bCs/>
          <w:sz w:val="20"/>
          <w:szCs w:val="20"/>
        </w:rPr>
        <w:t>prêts destinés aux opérateurs de logement social</w:t>
      </w:r>
    </w:p>
    <w:p w:rsidR="00E363B9" w:rsidRDefault="00E363B9">
      <w:pPr>
        <w:pStyle w:val="Standard"/>
        <w:jc w:val="both"/>
      </w:pPr>
    </w:p>
    <w:p w:rsidR="00E363B9" w:rsidRDefault="00E363B9">
      <w:pPr>
        <w:pStyle w:val="Standard"/>
      </w:pPr>
      <w:r>
        <w:rPr>
          <w:rFonts w:ascii="Liberation Sans" w:hAnsi="Liberation Sans"/>
          <w:b/>
          <w:color w:val="00000A"/>
          <w:sz w:val="20"/>
          <w:szCs w:val="20"/>
          <w:u w:val="single"/>
        </w:rPr>
        <w:t>Modalités</w:t>
      </w:r>
      <w:r>
        <w:rPr>
          <w:rFonts w:ascii="Liberation Sans" w:hAnsi="Liberation Sans"/>
          <w:bCs/>
          <w:color w:val="00000A"/>
          <w:sz w:val="20"/>
          <w:szCs w:val="20"/>
        </w:rPr>
        <w:t xml:space="preserve"> : </w:t>
      </w:r>
      <w:r>
        <w:rPr>
          <w:rFonts w:ascii="Liberation Sans" w:hAnsi="Liberation Sans"/>
          <w:bCs/>
          <w:color w:val="00000A"/>
          <w:sz w:val="20"/>
          <w:szCs w:val="20"/>
          <w:lang w:eastAsia="en-US"/>
        </w:rPr>
        <w:t xml:space="preserve">Ces prêts sont aux taux les plus bas de la gamme de prêts sur fonds d’épargne de </w:t>
      </w:r>
      <w:smartTag w:uri="urn:schemas-microsoft-com:office:smarttags" w:element="PersonName">
        <w:smartTagPr>
          <w:attr w:name="ProductID" w:val="la Caisse"/>
        </w:smartTagPr>
        <w:r>
          <w:rPr>
            <w:rFonts w:ascii="Liberation Sans" w:hAnsi="Liberation Sans"/>
            <w:bCs/>
            <w:color w:val="00000A"/>
            <w:sz w:val="20"/>
            <w:szCs w:val="20"/>
            <w:lang w:eastAsia="en-US"/>
          </w:rPr>
          <w:t>la Caisse</w:t>
        </w:r>
      </w:smartTag>
      <w:r>
        <w:rPr>
          <w:rFonts w:ascii="Liberation Sans" w:hAnsi="Liberation Sans"/>
          <w:bCs/>
          <w:color w:val="00000A"/>
          <w:sz w:val="20"/>
          <w:szCs w:val="20"/>
          <w:lang w:eastAsia="en-US"/>
        </w:rPr>
        <w:t xml:space="preserve"> des Dépôts : taux du Livret A - 0,75% avec un plancher à 0,5%, sur une durée de 5 à 15 ans (soit un taux de 0,5 % en novembre 2014). </w:t>
      </w:r>
    </w:p>
    <w:p w:rsidR="00E363B9" w:rsidRDefault="00E363B9">
      <w:pPr>
        <w:pStyle w:val="Standard"/>
      </w:pPr>
    </w:p>
    <w:p w:rsidR="00E363B9" w:rsidRDefault="00E363B9">
      <w:pPr>
        <w:pStyle w:val="Standard"/>
      </w:pPr>
      <w:r>
        <w:rPr>
          <w:rFonts w:ascii="Liberation Sans" w:hAnsi="Liberation Sans"/>
          <w:b/>
          <w:sz w:val="20"/>
          <w:szCs w:val="20"/>
          <w:u w:val="single"/>
        </w:rPr>
        <w:t xml:space="preserve">Gestionnaire : </w:t>
      </w:r>
      <w:r>
        <w:rPr>
          <w:rFonts w:ascii="Liberation Sans" w:hAnsi="Liberation Sans"/>
          <w:b/>
          <w:sz w:val="20"/>
          <w:szCs w:val="20"/>
        </w:rPr>
        <w:t>Caisse des dépôts</w:t>
      </w:r>
    </w:p>
    <w:p w:rsidR="00E363B9" w:rsidRDefault="00E363B9">
      <w:pPr>
        <w:pStyle w:val="Standard"/>
      </w:pPr>
    </w:p>
    <w:p w:rsidR="00E363B9" w:rsidRDefault="00E363B9">
      <w:pPr>
        <w:pStyle w:val="Standard"/>
      </w:pPr>
      <w:r>
        <w:rPr>
          <w:rFonts w:ascii="Liberation Sans" w:hAnsi="Liberation Sans"/>
          <w:b/>
          <w:sz w:val="20"/>
          <w:szCs w:val="20"/>
        </w:rPr>
        <w:t xml:space="preserve">Site : </w:t>
      </w:r>
      <w:hyperlink r:id="rId10">
        <w:r>
          <w:rPr>
            <w:rStyle w:val="LienInternet"/>
            <w:rFonts w:ascii="Liberation Sans" w:hAnsi="Liberation Sans"/>
            <w:b/>
            <w:sz w:val="20"/>
            <w:szCs w:val="20"/>
          </w:rPr>
          <w:t>http://www.developpement-durable.gouv.fr/L-eco-pret-logement-social,28944.html</w:t>
        </w:r>
      </w:hyperlink>
    </w:p>
    <w:p w:rsidR="00E363B9" w:rsidRDefault="00E363B9">
      <w:pPr>
        <w:pStyle w:val="Standard"/>
      </w:pPr>
    </w:p>
    <w:p w:rsidR="00E363B9" w:rsidRDefault="00E363B9">
      <w:pPr>
        <w:pStyle w:val="Standard"/>
      </w:pPr>
    </w:p>
    <w:p w:rsidR="00E363B9" w:rsidRDefault="00E363B9">
      <w:pPr>
        <w:pStyle w:val="ListParagraph"/>
        <w:numPr>
          <w:ilvl w:val="2"/>
          <w:numId w:val="2"/>
        </w:numPr>
        <w:jc w:val="both"/>
      </w:pPr>
      <w:r>
        <w:rPr>
          <w:rFonts w:ascii="Liberation Sans" w:hAnsi="Liberation Sans"/>
          <w:b/>
          <w:sz w:val="20"/>
          <w:szCs w:val="20"/>
        </w:rPr>
        <w:t>Rénovation thermique des logements des particuliers les plus modestes : Fonds d'aide à la rénovation thermique (FART)/ programme habiter mieux</w:t>
      </w:r>
    </w:p>
    <w:p w:rsidR="00E363B9" w:rsidRDefault="00E363B9">
      <w:pPr>
        <w:pStyle w:val="Standard"/>
      </w:pPr>
    </w:p>
    <w:p w:rsidR="00E363B9" w:rsidRDefault="00E363B9">
      <w:pPr>
        <w:pStyle w:val="Standard"/>
        <w:jc w:val="both"/>
      </w:pPr>
      <w:r>
        <w:rPr>
          <w:rFonts w:ascii="Liberation Sans" w:hAnsi="Liberation Sans"/>
          <w:bCs/>
          <w:color w:val="00000A"/>
          <w:sz w:val="20"/>
          <w:szCs w:val="20"/>
          <w:lang w:eastAsia="en-US"/>
        </w:rPr>
        <w:t>Afin d’améliorer la performance énergétique des bâtiments et lutter contre la précarité énergétique, les propriétaires occupants de ressources modestes, les propriétaires bailleurs et les syndicats de copropriétaires qui réalisent des travaux d'économies d'énergie peuvent, sous certaines conditions, bénéficier d'une aide du fonds d'aide à la rénovation énergétique (Fart) dans le cadre du programme Habiter Mieux. Cette aide prend la forme d’une aide financière appelée aide de solidarité écologique (ASE) ou d’un accompagnement social, financier et technique pour l'élaboration et le suivi du projet (uniquement pour les propriétaires occupants et bailleurs).</w:t>
      </w:r>
    </w:p>
    <w:p w:rsidR="00E363B9" w:rsidRDefault="00E363B9">
      <w:pPr>
        <w:pStyle w:val="Standard"/>
      </w:pPr>
    </w:p>
    <w:p w:rsidR="00E363B9" w:rsidRPr="00FF1D68" w:rsidRDefault="00E363B9">
      <w:pPr>
        <w:pStyle w:val="Standard"/>
        <w:jc w:val="both"/>
        <w:rPr>
          <w:rFonts w:ascii="Liberation Sans" w:hAnsi="Liberation Sans"/>
          <w:bCs/>
          <w:color w:val="00000A"/>
          <w:sz w:val="20"/>
          <w:szCs w:val="20"/>
          <w:lang w:eastAsia="en-US"/>
        </w:rPr>
      </w:pPr>
      <w:r>
        <w:rPr>
          <w:rFonts w:ascii="Liberation Sans" w:hAnsi="Liberation Sans"/>
          <w:bCs/>
          <w:color w:val="00000A"/>
          <w:sz w:val="20"/>
          <w:szCs w:val="20"/>
          <w:lang w:eastAsia="en-US"/>
        </w:rPr>
        <w:t>Le succès du programme Habiter mieux repose sur la coordination et la mobilisation d'un grand nombre d'acteurs. Le contrat local d'engagement de lutte contre la précarité énergétique des logements privés formalise ainsi les collaborations institutionnelles autour d'un objectif : aider les propriétaires occupants et les propriétaires bailleurs (depuis le 1er juin 2013) à réaliser les travaux d'économie d'énergie nécessaires à l'amélioration de leurs conditions de vie dans leur logement ou celui de leurs locataires. L’</w:t>
      </w:r>
      <w:r w:rsidRPr="00FF1D68">
        <w:rPr>
          <w:rFonts w:ascii="Liberation Sans" w:hAnsi="Liberation Sans"/>
          <w:bCs/>
          <w:color w:val="00000A"/>
          <w:sz w:val="20"/>
          <w:szCs w:val="20"/>
          <w:lang w:eastAsia="en-US"/>
        </w:rPr>
        <w:t xml:space="preserve">Objectif pour 2015 </w:t>
      </w:r>
      <w:r>
        <w:rPr>
          <w:rFonts w:ascii="Liberation Sans" w:hAnsi="Liberation Sans"/>
          <w:bCs/>
          <w:color w:val="00000A"/>
          <w:sz w:val="20"/>
          <w:szCs w:val="20"/>
          <w:lang w:eastAsia="en-US"/>
        </w:rPr>
        <w:t>est de rénover</w:t>
      </w:r>
      <w:r w:rsidRPr="00FF1D68">
        <w:rPr>
          <w:rFonts w:ascii="Liberation Sans" w:hAnsi="Liberation Sans"/>
          <w:bCs/>
          <w:color w:val="00000A"/>
          <w:sz w:val="20"/>
          <w:szCs w:val="20"/>
          <w:lang w:eastAsia="en-US"/>
        </w:rPr>
        <w:t xml:space="preserve"> 45 000 logements</w:t>
      </w:r>
      <w:r>
        <w:rPr>
          <w:rFonts w:ascii="Liberation Sans" w:hAnsi="Liberation Sans"/>
          <w:bCs/>
          <w:color w:val="00000A"/>
          <w:sz w:val="20"/>
          <w:szCs w:val="20"/>
          <w:lang w:eastAsia="en-US"/>
        </w:rPr>
        <w:t>.</w:t>
      </w:r>
    </w:p>
    <w:p w:rsidR="00E363B9" w:rsidRDefault="00E363B9">
      <w:pPr>
        <w:pStyle w:val="Standard"/>
        <w:jc w:val="both"/>
      </w:pPr>
    </w:p>
    <w:p w:rsidR="00E363B9" w:rsidRDefault="00E363B9">
      <w:pPr>
        <w:pStyle w:val="Standard"/>
        <w:jc w:val="both"/>
      </w:pPr>
      <w:r>
        <w:rPr>
          <w:rFonts w:ascii="Liberation Sans" w:hAnsi="Liberation Sans"/>
          <w:bCs/>
          <w:color w:val="00000A"/>
          <w:sz w:val="20"/>
          <w:szCs w:val="20"/>
          <w:lang w:eastAsia="en-US"/>
        </w:rPr>
        <w:t>Habiter mieux, c’est :</w:t>
      </w:r>
    </w:p>
    <w:p w:rsidR="00E363B9" w:rsidRDefault="00E363B9">
      <w:pPr>
        <w:pStyle w:val="Standard"/>
        <w:numPr>
          <w:ilvl w:val="0"/>
          <w:numId w:val="6"/>
        </w:numPr>
        <w:jc w:val="both"/>
      </w:pPr>
      <w:r>
        <w:rPr>
          <w:rFonts w:ascii="Liberation Sans" w:hAnsi="Liberation Sans"/>
          <w:bCs/>
          <w:color w:val="00000A"/>
          <w:sz w:val="20"/>
          <w:szCs w:val="20"/>
          <w:lang w:eastAsia="en-US"/>
        </w:rPr>
        <w:t>une aide de l’Agence nationale de l’habitat (Anah) représentant 35 ou 50 % du montant total des travaux ;</w:t>
      </w:r>
    </w:p>
    <w:p w:rsidR="00E363B9" w:rsidRDefault="00E363B9">
      <w:pPr>
        <w:pStyle w:val="Standard"/>
        <w:numPr>
          <w:ilvl w:val="0"/>
          <w:numId w:val="6"/>
        </w:numPr>
        <w:jc w:val="both"/>
      </w:pPr>
      <w:r>
        <w:rPr>
          <w:rFonts w:ascii="Liberation Sans" w:hAnsi="Liberation Sans"/>
          <w:bCs/>
          <w:color w:val="00000A"/>
          <w:sz w:val="20"/>
          <w:szCs w:val="20"/>
          <w:lang w:eastAsia="en-US"/>
        </w:rPr>
        <w:t>une aide forfaitaire d’un montant minimum de 3 000 € au titre des "investissements d'avenir" ;</w:t>
      </w:r>
    </w:p>
    <w:p w:rsidR="00E363B9" w:rsidRDefault="00E363B9">
      <w:pPr>
        <w:pStyle w:val="Standard"/>
        <w:numPr>
          <w:ilvl w:val="0"/>
          <w:numId w:val="6"/>
        </w:numPr>
        <w:jc w:val="both"/>
      </w:pPr>
      <w:r>
        <w:rPr>
          <w:rFonts w:ascii="Liberation Sans" w:hAnsi="Liberation Sans"/>
          <w:bCs/>
          <w:color w:val="00000A"/>
          <w:sz w:val="20"/>
          <w:szCs w:val="20"/>
          <w:lang w:eastAsia="en-US"/>
        </w:rPr>
        <w:t>une aide complémentaire qui peut éventuellement être accordée par le conseil général, la communauté de communes ou la mairie... dans ce cas, l'aide Habiter Mieux est augmentée du même montant, dans la limite de 500 €, soit 3 500 € au total.</w:t>
      </w:r>
    </w:p>
    <w:p w:rsidR="00E363B9" w:rsidRDefault="00E363B9">
      <w:pPr>
        <w:pStyle w:val="Standard"/>
      </w:pPr>
    </w:p>
    <w:p w:rsidR="00E363B9" w:rsidRDefault="00E363B9">
      <w:pPr>
        <w:pStyle w:val="Standard"/>
        <w:jc w:val="both"/>
      </w:pPr>
      <w:r>
        <w:rPr>
          <w:rFonts w:ascii="Liberation Sans" w:hAnsi="Liberation Sans"/>
          <w:b/>
          <w:sz w:val="20"/>
          <w:szCs w:val="20"/>
          <w:u w:val="single"/>
        </w:rPr>
        <w:t>Cible</w:t>
      </w:r>
      <w:r>
        <w:rPr>
          <w:rFonts w:ascii="Liberation Sans" w:hAnsi="Liberation Sans"/>
          <w:sz w:val="20"/>
          <w:szCs w:val="20"/>
        </w:rPr>
        <w:t xml:space="preserve"> : </w:t>
      </w:r>
      <w:r>
        <w:rPr>
          <w:rFonts w:ascii="Liberation Sans" w:hAnsi="Liberation Sans"/>
          <w:bCs/>
          <w:sz w:val="20"/>
          <w:szCs w:val="20"/>
        </w:rPr>
        <w:t>propriétaires occupants de ressources modestes, propriétaires bailleurs et syndicats de copropriétaires</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 xml:space="preserve">Gestionnaire du fonds : </w:t>
      </w:r>
      <w:r>
        <w:rPr>
          <w:rFonts w:ascii="Liberation Sans" w:hAnsi="Liberation Sans"/>
          <w:b/>
          <w:sz w:val="20"/>
          <w:szCs w:val="20"/>
        </w:rPr>
        <w:t>Anah</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Site :</w:t>
      </w:r>
      <w:r>
        <w:rPr>
          <w:rFonts w:ascii="Liberation Sans" w:hAnsi="Liberation Sans"/>
          <w:b/>
          <w:sz w:val="20"/>
          <w:szCs w:val="20"/>
        </w:rPr>
        <w:t xml:space="preserve"> </w:t>
      </w:r>
      <w:hyperlink r:id="rId11">
        <w:r>
          <w:rPr>
            <w:rStyle w:val="LienInternet"/>
            <w:rFonts w:ascii="Liberation Sans" w:hAnsi="Liberation Sans" w:cs="Arial"/>
            <w:b/>
            <w:sz w:val="20"/>
            <w:szCs w:val="20"/>
          </w:rPr>
          <w:t>http://www.anah.fr/habitermieux.html</w:t>
        </w:r>
      </w:hyperlink>
    </w:p>
    <w:p w:rsidR="00E363B9" w:rsidRDefault="00E363B9">
      <w:pPr>
        <w:pStyle w:val="Standard"/>
        <w:jc w:val="both"/>
      </w:pPr>
    </w:p>
    <w:p w:rsidR="00E363B9" w:rsidRDefault="00E363B9">
      <w:pPr>
        <w:pStyle w:val="ListParagraph"/>
        <w:ind w:left="1980"/>
        <w:jc w:val="both"/>
      </w:pPr>
    </w:p>
    <w:p w:rsidR="00E363B9" w:rsidRDefault="00E363B9">
      <w:pPr>
        <w:pStyle w:val="ListParagraph"/>
        <w:numPr>
          <w:ilvl w:val="2"/>
          <w:numId w:val="2"/>
        </w:numPr>
        <w:jc w:val="both"/>
      </w:pPr>
      <w:r>
        <w:rPr>
          <w:rFonts w:ascii="Liberation Sans" w:hAnsi="Liberation Sans"/>
          <w:b/>
          <w:sz w:val="20"/>
          <w:szCs w:val="20"/>
        </w:rPr>
        <w:t>Appel à Manifestation d’intérêt « Plateformes de rénovation énergétique de l’Habitat »</w:t>
      </w:r>
    </w:p>
    <w:p w:rsidR="00E363B9" w:rsidRDefault="00E363B9">
      <w:pPr>
        <w:pStyle w:val="ListParagraph"/>
        <w:jc w:val="both"/>
      </w:pPr>
    </w:p>
    <w:p w:rsidR="00E363B9" w:rsidRDefault="00E363B9">
      <w:pPr>
        <w:pStyle w:val="Standard"/>
        <w:shd w:val="clear" w:color="auto" w:fill="FFFFFF"/>
        <w:jc w:val="both"/>
      </w:pPr>
      <w:r>
        <w:rPr>
          <w:rFonts w:ascii="Liberation Sans" w:hAnsi="Liberation Sans"/>
          <w:sz w:val="20"/>
          <w:szCs w:val="20"/>
        </w:rPr>
        <w:t>L’objectif des plateformes locales est d’accompagner les particuliers dans la rénovation énergétique de leur logement en apportant un service plus abouti et plus intégré entre intervenants, de la conception jusqu’au suivi de la performance énergétique en confortant l’évolution des compétences locales autour de la rénovation du logement privé.</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sz w:val="20"/>
          <w:szCs w:val="20"/>
        </w:rPr>
        <w:t>Cet appel à manifestation d’intérêt vise à soutenir la création et les 3 premières années de fonctionnement d’une plateforme offrant un accompagnement des particuliers dans un projet de rénovation. L’objectif est de disposer de 100 plateformes d’ici 2015.</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b/>
          <w:sz w:val="20"/>
          <w:szCs w:val="20"/>
          <w:u w:val="single"/>
        </w:rPr>
        <w:t>Cible</w:t>
      </w:r>
      <w:r>
        <w:rPr>
          <w:rFonts w:ascii="Liberation Sans" w:hAnsi="Liberation Sans"/>
          <w:sz w:val="20"/>
          <w:szCs w:val="20"/>
          <w:u w:val="single"/>
        </w:rPr>
        <w:t> :</w:t>
      </w:r>
      <w:r>
        <w:rPr>
          <w:rFonts w:ascii="Liberation Sans" w:hAnsi="Liberation Sans"/>
          <w:sz w:val="20"/>
          <w:szCs w:val="20"/>
        </w:rPr>
        <w:t xml:space="preserve"> collectivités répondant ou non à un appel à manifestation d’intérêt régional (10 lancés, en cours de généralisation).</w:t>
      </w:r>
    </w:p>
    <w:p w:rsidR="00E363B9" w:rsidRDefault="00E363B9">
      <w:pPr>
        <w:pStyle w:val="Standard"/>
        <w:shd w:val="clear" w:color="auto" w:fill="FFFFFF"/>
        <w:jc w:val="both"/>
      </w:pPr>
    </w:p>
    <w:p w:rsidR="00E363B9" w:rsidRDefault="00E363B9">
      <w:pPr>
        <w:pStyle w:val="Standard"/>
        <w:jc w:val="both"/>
      </w:pPr>
      <w:r>
        <w:rPr>
          <w:rFonts w:ascii="Liberation Sans" w:hAnsi="Liberation Sans"/>
          <w:b/>
          <w:sz w:val="20"/>
          <w:szCs w:val="20"/>
          <w:u w:val="single"/>
        </w:rPr>
        <w:t xml:space="preserve">Aide : </w:t>
      </w:r>
    </w:p>
    <w:p w:rsidR="00E363B9" w:rsidRDefault="00E363B9">
      <w:pPr>
        <w:pStyle w:val="ListParagraph"/>
        <w:numPr>
          <w:ilvl w:val="0"/>
          <w:numId w:val="4"/>
        </w:numPr>
        <w:jc w:val="both"/>
      </w:pPr>
      <w:r>
        <w:rPr>
          <w:rFonts w:ascii="Liberation Sans" w:hAnsi="Liberation Sans"/>
          <w:sz w:val="20"/>
          <w:szCs w:val="20"/>
        </w:rPr>
        <w:t>financement d’un chargé de mission (30% avec un plafond de 230 000 € sur 3 ans).</w:t>
      </w:r>
    </w:p>
    <w:p w:rsidR="00E363B9" w:rsidRDefault="00E363B9">
      <w:pPr>
        <w:pStyle w:val="ListParagraph"/>
        <w:numPr>
          <w:ilvl w:val="0"/>
          <w:numId w:val="4"/>
        </w:numPr>
        <w:jc w:val="both"/>
      </w:pPr>
      <w:r>
        <w:rPr>
          <w:rFonts w:ascii="Liberation Sans" w:hAnsi="Liberation Sans"/>
          <w:sz w:val="20"/>
          <w:szCs w:val="20"/>
        </w:rPr>
        <w:t>Etude qualitative de préfiguration (70% avec un plafond de 20 000€.)</w:t>
      </w:r>
    </w:p>
    <w:p w:rsidR="00E363B9" w:rsidRDefault="00E363B9">
      <w:pPr>
        <w:pStyle w:val="ListParagraph"/>
        <w:numPr>
          <w:ilvl w:val="0"/>
          <w:numId w:val="3"/>
        </w:numPr>
        <w:jc w:val="both"/>
      </w:pPr>
      <w:r>
        <w:rPr>
          <w:rFonts w:ascii="Liberation Sans" w:hAnsi="Liberation Sans"/>
          <w:sz w:val="20"/>
          <w:szCs w:val="20"/>
        </w:rPr>
        <w:t>L’accompagnement de la démarche (élaboration, mise en œuvre d’outil, campagne d’information…). Le taux d’aide est de 50% avec un plafond de 50 000 €</w:t>
      </w:r>
    </w:p>
    <w:p w:rsidR="00E363B9" w:rsidRDefault="00E363B9">
      <w:pPr>
        <w:pStyle w:val="Standard"/>
        <w:shd w:val="clear" w:color="auto" w:fill="FFFFFF"/>
        <w:jc w:val="both"/>
      </w:pPr>
    </w:p>
    <w:p w:rsidR="00E363B9" w:rsidRDefault="00E363B9">
      <w:pPr>
        <w:pStyle w:val="Standard"/>
        <w:jc w:val="both"/>
      </w:pPr>
      <w:r>
        <w:rPr>
          <w:rFonts w:ascii="Liberation Sans" w:hAnsi="Liberation Sans"/>
          <w:b/>
          <w:sz w:val="20"/>
          <w:szCs w:val="20"/>
          <w:u w:val="single"/>
        </w:rPr>
        <w:t xml:space="preserve">Gestionnaire : </w:t>
      </w:r>
      <w:r>
        <w:rPr>
          <w:rFonts w:ascii="Liberation Sans" w:hAnsi="Liberation Sans"/>
          <w:b/>
          <w:sz w:val="20"/>
          <w:szCs w:val="20"/>
        </w:rPr>
        <w:t>Ademe</w:t>
      </w:r>
    </w:p>
    <w:p w:rsidR="00E363B9" w:rsidRDefault="00E363B9">
      <w:pPr>
        <w:pStyle w:val="Standard"/>
        <w:jc w:val="both"/>
      </w:pPr>
    </w:p>
    <w:p w:rsidR="00E363B9" w:rsidRDefault="00E363B9">
      <w:pPr>
        <w:pStyle w:val="Standard"/>
        <w:shd w:val="clear" w:color="auto" w:fill="FFFFFF"/>
        <w:jc w:val="both"/>
      </w:pPr>
    </w:p>
    <w:p w:rsidR="00E363B9" w:rsidRDefault="00E363B9">
      <w:pPr>
        <w:pStyle w:val="ListParagraph"/>
        <w:numPr>
          <w:ilvl w:val="2"/>
          <w:numId w:val="2"/>
        </w:numPr>
        <w:jc w:val="both"/>
      </w:pPr>
      <w:r>
        <w:rPr>
          <w:rFonts w:ascii="Liberation Sans" w:hAnsi="Liberation Sans"/>
          <w:b/>
          <w:sz w:val="20"/>
          <w:szCs w:val="20"/>
        </w:rPr>
        <w:t>Programme national de Recherche et d'expérimentation sur l'Énergie dans les BÂTiments</w:t>
      </w:r>
    </w:p>
    <w:p w:rsidR="00E363B9" w:rsidRDefault="00E363B9">
      <w:pPr>
        <w:pStyle w:val="Standard"/>
        <w:jc w:val="both"/>
      </w:pPr>
      <w:r>
        <w:rPr>
          <w:rFonts w:ascii="Liberation Sans" w:hAnsi="Liberation Sans"/>
          <w:sz w:val="20"/>
          <w:szCs w:val="20"/>
        </w:rPr>
        <w:t>Soutien à des opérations dans le domaine du bâtiment mettant en œuvre des technologies innovantes ou émergentes dans le but de servir d’exemple.</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Cible :</w:t>
      </w:r>
      <w:r>
        <w:rPr>
          <w:rFonts w:ascii="Liberation Sans" w:hAnsi="Liberation Sans"/>
          <w:sz w:val="20"/>
          <w:szCs w:val="20"/>
        </w:rPr>
        <w:t xml:space="preserve"> tout projet répondant à un appel à projet régional commun ADEME – Région.</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Aide :</w:t>
      </w:r>
      <w:r>
        <w:rPr>
          <w:rFonts w:ascii="Liberation Sans" w:hAnsi="Liberation Sans"/>
          <w:sz w:val="20"/>
          <w:szCs w:val="20"/>
        </w:rPr>
        <w:t xml:space="preserve"> Taux plafonné à 40% du surcoût.</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Gestionnaire :</w:t>
      </w:r>
      <w:r w:rsidRPr="00562A43">
        <w:rPr>
          <w:rFonts w:ascii="Liberation Sans" w:hAnsi="Liberation Sans"/>
          <w:b/>
          <w:sz w:val="20"/>
          <w:szCs w:val="20"/>
        </w:rPr>
        <w:t xml:space="preserve"> </w:t>
      </w:r>
      <w:r>
        <w:rPr>
          <w:rFonts w:ascii="Liberation Sans" w:hAnsi="Liberation Sans"/>
          <w:b/>
          <w:sz w:val="20"/>
          <w:szCs w:val="20"/>
        </w:rPr>
        <w:t>Ademe</w:t>
      </w:r>
    </w:p>
    <w:p w:rsidR="00E363B9" w:rsidRDefault="00E363B9">
      <w:pPr>
        <w:pStyle w:val="Standard"/>
        <w:jc w:val="both"/>
      </w:pPr>
    </w:p>
    <w:p w:rsidR="00E363B9" w:rsidRDefault="00E363B9">
      <w:pPr>
        <w:pStyle w:val="Standard"/>
        <w:jc w:val="both"/>
      </w:pPr>
    </w:p>
    <w:p w:rsidR="00E363B9" w:rsidRDefault="00E363B9">
      <w:pPr>
        <w:pStyle w:val="Standard"/>
        <w:jc w:val="both"/>
      </w:pPr>
    </w:p>
    <w:p w:rsidR="00E363B9" w:rsidRPr="006C58A3" w:rsidRDefault="00E363B9" w:rsidP="006C58A3">
      <w:pPr>
        <w:pStyle w:val="ListParagraph"/>
        <w:numPr>
          <w:ilvl w:val="1"/>
          <w:numId w:val="2"/>
        </w:numPr>
        <w:shd w:val="clear" w:color="auto" w:fill="D9D9D9"/>
        <w:jc w:val="both"/>
        <w:rPr>
          <w:rFonts w:ascii="Liberation Sans" w:hAnsi="Liberation Sans"/>
          <w:b/>
          <w:sz w:val="20"/>
          <w:szCs w:val="20"/>
          <w:u w:val="single"/>
        </w:rPr>
      </w:pPr>
      <w:r>
        <w:rPr>
          <w:rFonts w:ascii="Liberation Sans" w:hAnsi="Liberation Sans"/>
          <w:b/>
          <w:sz w:val="20"/>
          <w:szCs w:val="20"/>
          <w:u w:val="single"/>
        </w:rPr>
        <w:t>S</w:t>
      </w:r>
      <w:r w:rsidRPr="006C58A3">
        <w:rPr>
          <w:rFonts w:ascii="Liberation Sans" w:hAnsi="Liberation Sans"/>
          <w:b/>
          <w:sz w:val="20"/>
          <w:szCs w:val="20"/>
          <w:u w:val="single"/>
        </w:rPr>
        <w:t>outien à la gestion des déchets et au développement de l’économie Circulaire</w:t>
      </w:r>
    </w:p>
    <w:p w:rsidR="00E363B9" w:rsidRPr="00634CBE" w:rsidRDefault="00E363B9" w:rsidP="00634CBE">
      <w:pPr>
        <w:pStyle w:val="ListParagraph"/>
        <w:ind w:left="1980"/>
        <w:jc w:val="both"/>
      </w:pPr>
    </w:p>
    <w:p w:rsidR="00E363B9" w:rsidRDefault="00E363B9">
      <w:pPr>
        <w:pStyle w:val="ListParagraph"/>
        <w:numPr>
          <w:ilvl w:val="2"/>
          <w:numId w:val="2"/>
        </w:numPr>
        <w:jc w:val="both"/>
      </w:pPr>
      <w:r>
        <w:rPr>
          <w:rFonts w:ascii="Liberation Sans" w:hAnsi="Liberation Sans"/>
          <w:b/>
          <w:sz w:val="20"/>
          <w:szCs w:val="20"/>
        </w:rPr>
        <w:t>Appel à projets « zéro gaspillage zéro déchets »</w:t>
      </w:r>
    </w:p>
    <w:p w:rsidR="00E363B9" w:rsidRDefault="00E363B9">
      <w:pPr>
        <w:pStyle w:val="Standard"/>
        <w:shd w:val="clear" w:color="auto" w:fill="FFFFFF"/>
        <w:jc w:val="both"/>
      </w:pPr>
      <w:r>
        <w:rPr>
          <w:rFonts w:ascii="Liberation Sans" w:hAnsi="Liberation Sans"/>
          <w:sz w:val="20"/>
          <w:szCs w:val="20"/>
        </w:rPr>
        <w:t>Lancé en juillet 2014, l’appel à projets pour 20 territoires « zéro gaspillage zéro déchets » a pour objectif d’engager 20 territoires volontaires dans une démarche exemplaire et participative de réduction, réutilisation et recyclage de leurs déchets. Plus de 296 collectivités ont déjà fait part de leur intérêt pour s’engager dans la démarche.</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sz w:val="20"/>
          <w:szCs w:val="20"/>
        </w:rPr>
        <w:t>"Zéro gaspillage, zéro déchet" est un idéal à atteindre : ne pas gaspiller, limiter au maximum la production de déchets, réemployer localement, recycler tout ce qui est recyclable par des cycles courts, limiter au maximum l’élimination et s’engager dans des démarches d’économie circulaire. </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sz w:val="20"/>
          <w:szCs w:val="20"/>
        </w:rPr>
        <w:t>Les collectivités retenues feront l’objet d’un accompagnement par l’Ademe et bénéficieront d’un soutien financier pour la réalisation d’une étude de faisabilité pour certains projets (collecte sélective des biodéchets, mise en place de composteurs ou de méthaniseurs, fiscalité incitative, tri des plastiques) et pour la mise en place d’une animation territoriale pendant cette période, afin de leur permettre de lancer et de porter leur projet.</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sz w:val="20"/>
          <w:szCs w:val="20"/>
        </w:rPr>
        <w:t>Les collectivités pourront également bénéficier d’un accompagnement des services de l’Etat qui pourront les appuyer dans leur démarche et les aider à construire au plus vite les dossiers liés aux nouveaux équipements rendus nécessaires à leur projet.</w:t>
      </w:r>
    </w:p>
    <w:p w:rsidR="00E363B9" w:rsidRDefault="00E363B9">
      <w:pPr>
        <w:pStyle w:val="Standard"/>
        <w:shd w:val="clear" w:color="auto" w:fill="FFFFFF"/>
        <w:jc w:val="both"/>
      </w:pPr>
    </w:p>
    <w:p w:rsidR="00E363B9" w:rsidRDefault="00E363B9">
      <w:pPr>
        <w:pStyle w:val="Standard"/>
        <w:jc w:val="both"/>
      </w:pPr>
      <w:r>
        <w:rPr>
          <w:rFonts w:ascii="Liberation Sans" w:hAnsi="Liberation Sans"/>
          <w:b/>
          <w:sz w:val="20"/>
          <w:szCs w:val="20"/>
          <w:u w:val="single"/>
        </w:rPr>
        <w:t>Cible </w:t>
      </w:r>
      <w:r>
        <w:rPr>
          <w:rFonts w:ascii="Liberation Sans" w:hAnsi="Liberation Sans"/>
          <w:b/>
          <w:sz w:val="20"/>
          <w:szCs w:val="20"/>
        </w:rPr>
        <w:t>: collectivités</w:t>
      </w:r>
    </w:p>
    <w:p w:rsidR="00E363B9" w:rsidRDefault="00E363B9">
      <w:pPr>
        <w:pStyle w:val="Standard"/>
        <w:shd w:val="clear" w:color="auto" w:fill="FFFFFF"/>
        <w:jc w:val="both"/>
      </w:pPr>
    </w:p>
    <w:p w:rsidR="00E363B9" w:rsidRPr="00E94556" w:rsidRDefault="00E363B9">
      <w:pPr>
        <w:pStyle w:val="Standard"/>
        <w:shd w:val="clear" w:color="auto" w:fill="FFFFFF"/>
        <w:jc w:val="both"/>
        <w:rPr>
          <w:rFonts w:ascii="Liberation Sans" w:hAnsi="Liberation Sans"/>
          <w:sz w:val="20"/>
          <w:szCs w:val="20"/>
          <w:u w:val="single"/>
        </w:rPr>
      </w:pPr>
      <w:r>
        <w:rPr>
          <w:rFonts w:ascii="Liberation Sans" w:hAnsi="Liberation Sans"/>
          <w:b/>
          <w:sz w:val="20"/>
          <w:szCs w:val="20"/>
          <w:u w:val="single"/>
        </w:rPr>
        <w:t xml:space="preserve">Aide : </w:t>
      </w:r>
      <w:r w:rsidRPr="00E94556">
        <w:rPr>
          <w:rFonts w:ascii="Liberation Sans" w:hAnsi="Liberation Sans"/>
          <w:sz w:val="20"/>
          <w:szCs w:val="20"/>
        </w:rPr>
        <w:t>Possibilité de bénéficier d’un financement par l’Ademe à 70 %</w:t>
      </w:r>
    </w:p>
    <w:p w:rsidR="00E363B9" w:rsidRPr="00E94556" w:rsidRDefault="00E363B9">
      <w:pPr>
        <w:pStyle w:val="Standard"/>
        <w:shd w:val="clear" w:color="auto" w:fill="FFFFFF"/>
        <w:jc w:val="both"/>
        <w:rPr>
          <w:rFonts w:ascii="Liberation Sans" w:hAnsi="Liberation Sans"/>
          <w:sz w:val="20"/>
          <w:szCs w:val="20"/>
        </w:rPr>
      </w:pPr>
      <w:r w:rsidRPr="00E94556">
        <w:rPr>
          <w:rFonts w:ascii="Liberation Sans" w:hAnsi="Liberation Sans"/>
          <w:sz w:val="20"/>
          <w:szCs w:val="20"/>
        </w:rPr>
        <w:t>-pour la mise en place d’un animateur territorial (dans une limite de 75 000 €/an)</w:t>
      </w:r>
    </w:p>
    <w:p w:rsidR="00E363B9" w:rsidRDefault="00E363B9">
      <w:pPr>
        <w:pStyle w:val="Standard"/>
        <w:shd w:val="clear" w:color="auto" w:fill="FFFFFF"/>
        <w:jc w:val="both"/>
        <w:rPr>
          <w:rFonts w:ascii="Liberation Sans" w:hAnsi="Liberation Sans"/>
          <w:sz w:val="20"/>
          <w:szCs w:val="20"/>
        </w:rPr>
      </w:pPr>
      <w:r w:rsidRPr="00E94556">
        <w:rPr>
          <w:rFonts w:ascii="Liberation Sans" w:hAnsi="Liberation Sans"/>
          <w:sz w:val="20"/>
          <w:szCs w:val="20"/>
        </w:rPr>
        <w:t>- pour la formation des référents du territoire ( dans une limite de 20 000 €&gt;an), notamment via la participation aux réseaux d’échanges des territoires lauréats</w:t>
      </w:r>
    </w:p>
    <w:p w:rsidR="00E363B9" w:rsidRPr="00E94556" w:rsidRDefault="00E363B9">
      <w:pPr>
        <w:pStyle w:val="Standard"/>
        <w:shd w:val="clear" w:color="auto" w:fill="FFFFFF"/>
        <w:jc w:val="both"/>
        <w:rPr>
          <w:rFonts w:ascii="Liberation Sans" w:hAnsi="Liberation Sans"/>
          <w:sz w:val="20"/>
          <w:szCs w:val="20"/>
        </w:rPr>
      </w:pPr>
    </w:p>
    <w:p w:rsidR="00E363B9" w:rsidRPr="00E94556" w:rsidRDefault="00E363B9">
      <w:pPr>
        <w:pStyle w:val="Standard"/>
        <w:shd w:val="clear" w:color="auto" w:fill="FFFFFF"/>
        <w:jc w:val="both"/>
        <w:rPr>
          <w:rFonts w:ascii="Liberation Sans" w:hAnsi="Liberation Sans"/>
          <w:sz w:val="20"/>
          <w:szCs w:val="20"/>
        </w:rPr>
      </w:pPr>
      <w:r w:rsidRPr="00E94556">
        <w:rPr>
          <w:rFonts w:ascii="Liberation Sans" w:hAnsi="Liberation Sans"/>
          <w:sz w:val="20"/>
          <w:szCs w:val="20"/>
        </w:rPr>
        <w:t>Accès prioritaire aux soutiens de l’ademe à un taux bonifié de 10 %</w:t>
      </w:r>
    </w:p>
    <w:p w:rsidR="00E363B9" w:rsidRPr="00E94556" w:rsidRDefault="00E363B9" w:rsidP="00E94556">
      <w:pPr>
        <w:pStyle w:val="Standard"/>
        <w:numPr>
          <w:ilvl w:val="0"/>
          <w:numId w:val="8"/>
        </w:numPr>
        <w:shd w:val="clear" w:color="auto" w:fill="FFFFFF"/>
        <w:tabs>
          <w:tab w:val="clear" w:pos="720"/>
          <w:tab w:val="left" w:pos="708"/>
        </w:tabs>
        <w:jc w:val="both"/>
        <w:rPr>
          <w:rFonts w:ascii="Liberation Sans" w:hAnsi="Liberation Sans"/>
          <w:sz w:val="20"/>
          <w:szCs w:val="20"/>
        </w:rPr>
      </w:pPr>
      <w:r w:rsidRPr="00E94556">
        <w:rPr>
          <w:rFonts w:ascii="Liberation Sans" w:hAnsi="Liberation Sans"/>
          <w:sz w:val="20"/>
          <w:szCs w:val="20"/>
        </w:rPr>
        <w:t>pour la réalisation d’études de faisabilité</w:t>
      </w:r>
      <w:r>
        <w:rPr>
          <w:rFonts w:ascii="Liberation Sans" w:hAnsi="Liberation Sans"/>
          <w:sz w:val="20"/>
          <w:szCs w:val="20"/>
        </w:rPr>
        <w:t xml:space="preserve"> pour certains projets</w:t>
      </w:r>
    </w:p>
    <w:p w:rsidR="00E363B9" w:rsidRPr="00E94556" w:rsidRDefault="00E363B9" w:rsidP="00E94556">
      <w:pPr>
        <w:pStyle w:val="Standard"/>
        <w:numPr>
          <w:ilvl w:val="0"/>
          <w:numId w:val="8"/>
        </w:numPr>
        <w:shd w:val="clear" w:color="auto" w:fill="FFFFFF"/>
        <w:tabs>
          <w:tab w:val="clear" w:pos="720"/>
          <w:tab w:val="left" w:pos="708"/>
        </w:tabs>
        <w:jc w:val="both"/>
        <w:rPr>
          <w:rFonts w:ascii="Liberation Sans" w:hAnsi="Liberation Sans"/>
          <w:sz w:val="20"/>
          <w:szCs w:val="20"/>
        </w:rPr>
      </w:pPr>
      <w:r w:rsidRPr="00E94556">
        <w:rPr>
          <w:rFonts w:ascii="Liberation Sans" w:hAnsi="Liberation Sans"/>
          <w:sz w:val="20"/>
          <w:szCs w:val="20"/>
        </w:rPr>
        <w:t>pour des investissements</w:t>
      </w:r>
    </w:p>
    <w:p w:rsidR="00E363B9" w:rsidRDefault="00E363B9" w:rsidP="00E94556">
      <w:pPr>
        <w:pStyle w:val="Standard"/>
        <w:shd w:val="clear" w:color="auto" w:fill="FFFFFF"/>
        <w:ind w:left="360"/>
        <w:jc w:val="both"/>
      </w:pPr>
    </w:p>
    <w:p w:rsidR="00E363B9" w:rsidRDefault="00E363B9">
      <w:pPr>
        <w:pStyle w:val="Standard"/>
        <w:shd w:val="clear" w:color="auto" w:fill="FFFFFF"/>
        <w:jc w:val="both"/>
      </w:pPr>
      <w:r>
        <w:rPr>
          <w:rFonts w:ascii="Liberation Sans" w:hAnsi="Liberation Sans"/>
          <w:b/>
          <w:sz w:val="20"/>
          <w:szCs w:val="20"/>
        </w:rPr>
        <w:t xml:space="preserve">Site : </w:t>
      </w:r>
      <w:hyperlink r:id="rId12">
        <w:r>
          <w:rPr>
            <w:rStyle w:val="LienInternet"/>
            <w:rFonts w:ascii="Liberation Sans" w:hAnsi="Liberation Sans" w:cs="Arial"/>
            <w:sz w:val="20"/>
            <w:szCs w:val="20"/>
          </w:rPr>
          <w:t>http://www.developpement-durable.gouv.fr/L-appel-a-projets-territoires-zero.html</w:t>
        </w:r>
      </w:hyperlink>
    </w:p>
    <w:p w:rsidR="00E363B9" w:rsidRDefault="00E363B9">
      <w:pPr>
        <w:pStyle w:val="Standard"/>
        <w:shd w:val="clear" w:color="auto" w:fill="FFFFFF"/>
        <w:jc w:val="both"/>
      </w:pPr>
    </w:p>
    <w:p w:rsidR="00E363B9" w:rsidRDefault="00E363B9">
      <w:pPr>
        <w:pStyle w:val="ListParagraph"/>
        <w:ind w:left="1980"/>
        <w:jc w:val="both"/>
      </w:pPr>
    </w:p>
    <w:p w:rsidR="00E363B9" w:rsidRDefault="00E363B9">
      <w:pPr>
        <w:pStyle w:val="ListParagraph"/>
        <w:numPr>
          <w:ilvl w:val="2"/>
          <w:numId w:val="2"/>
        </w:numPr>
        <w:jc w:val="both"/>
      </w:pPr>
      <w:r>
        <w:rPr>
          <w:rFonts w:ascii="Liberation Sans" w:hAnsi="Liberation Sans"/>
          <w:b/>
          <w:sz w:val="20"/>
          <w:szCs w:val="20"/>
        </w:rPr>
        <w:t xml:space="preserve">Appel à projets pour le développement de 1 500 projets de méthanisation </w:t>
      </w:r>
    </w:p>
    <w:p w:rsidR="00E363B9" w:rsidRDefault="00E363B9">
      <w:pPr>
        <w:pStyle w:val="Standard"/>
        <w:shd w:val="clear" w:color="auto" w:fill="FFFFFF"/>
        <w:jc w:val="both"/>
      </w:pPr>
    </w:p>
    <w:p w:rsidR="00E363B9" w:rsidRPr="00FF1D68" w:rsidRDefault="00E363B9">
      <w:pPr>
        <w:pStyle w:val="Standard"/>
        <w:shd w:val="clear" w:color="auto" w:fill="FFFFFF"/>
        <w:jc w:val="both"/>
        <w:rPr>
          <w:rFonts w:ascii="Liberation Sans" w:hAnsi="Liberation Sans"/>
          <w:sz w:val="20"/>
          <w:szCs w:val="20"/>
        </w:rPr>
      </w:pPr>
      <w:r>
        <w:rPr>
          <w:rFonts w:ascii="Liberation Sans" w:hAnsi="Liberation Sans"/>
          <w:sz w:val="20"/>
          <w:szCs w:val="20"/>
        </w:rPr>
        <w:t xml:space="preserve">Le 4 septembre 2014, Ségolène Royal a lancé un appel à projets pour le développement de 1 500 installations de méthanisation en 3 ans réparties dans les territoires ruraux. Le dispositif permet de mieux accompagner les porteurs de projets dans leurs démarches. Le bureau des énergies renouvelables relève chaque mois la liste des projets enregistrés et la disptache ensuite aux différents acteurs (Ademe, DREAL..) qui prennent contact avec les porteurs de projet pour apporter un soutien adapté à chaque situation. </w:t>
      </w:r>
      <w:r w:rsidRPr="00FF1D68">
        <w:rPr>
          <w:rFonts w:ascii="Liberation Sans" w:hAnsi="Liberation Sans"/>
          <w:sz w:val="20"/>
          <w:szCs w:val="20"/>
        </w:rPr>
        <w:t>134 projets se sont enregistrés au cours des 3 premiers mois.</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sz w:val="20"/>
          <w:szCs w:val="20"/>
        </w:rPr>
        <w:t>En fonction des besoins identifiés, les porteurs de projets seront mis en relation avec les services compétents de l’Etat, de l’Ademe ou des gestionnaires de réseaux.</w:t>
      </w:r>
    </w:p>
    <w:p w:rsidR="00E363B9" w:rsidRDefault="00E363B9">
      <w:pPr>
        <w:pStyle w:val="Standard"/>
        <w:shd w:val="clear" w:color="auto" w:fill="FFFFFF"/>
        <w:jc w:val="both"/>
      </w:pPr>
    </w:p>
    <w:p w:rsidR="00E363B9" w:rsidRDefault="00E363B9">
      <w:pPr>
        <w:pStyle w:val="Standard"/>
        <w:shd w:val="clear" w:color="auto" w:fill="FFFFFF"/>
        <w:jc w:val="both"/>
        <w:rPr>
          <w:rFonts w:ascii="Liberation Sans" w:hAnsi="Liberation Sans"/>
          <w:sz w:val="20"/>
          <w:szCs w:val="20"/>
        </w:rPr>
      </w:pPr>
      <w:r>
        <w:rPr>
          <w:rFonts w:ascii="Liberation Sans" w:hAnsi="Liberation Sans"/>
          <w:b/>
          <w:sz w:val="20"/>
          <w:szCs w:val="20"/>
          <w:u w:val="single"/>
        </w:rPr>
        <w:t>Cible </w:t>
      </w:r>
      <w:r>
        <w:rPr>
          <w:rFonts w:ascii="Liberation Sans" w:hAnsi="Liberation Sans"/>
          <w:b/>
          <w:sz w:val="20"/>
          <w:szCs w:val="20"/>
        </w:rPr>
        <w:t xml:space="preserve">: </w:t>
      </w:r>
      <w:r>
        <w:rPr>
          <w:rFonts w:ascii="Liberation Sans" w:hAnsi="Liberation Sans"/>
          <w:sz w:val="20"/>
          <w:szCs w:val="20"/>
        </w:rPr>
        <w:t>porteurs de projet du monde agricole, de l’industrie ou de l’agroalimentaire, collectivités territoriales.</w:t>
      </w:r>
    </w:p>
    <w:p w:rsidR="00E363B9" w:rsidRDefault="00E363B9">
      <w:pPr>
        <w:pStyle w:val="Standard"/>
        <w:shd w:val="clear" w:color="auto" w:fill="FFFFFF"/>
        <w:jc w:val="both"/>
        <w:rPr>
          <w:rFonts w:ascii="Liberation Sans" w:hAnsi="Liberation Sans"/>
          <w:sz w:val="20"/>
          <w:szCs w:val="20"/>
        </w:rPr>
      </w:pPr>
    </w:p>
    <w:p w:rsidR="00E363B9" w:rsidRPr="00501751" w:rsidRDefault="00E363B9" w:rsidP="00501751">
      <w:pPr>
        <w:pStyle w:val="Standard"/>
        <w:shd w:val="clear" w:color="auto" w:fill="FFFFFF"/>
        <w:jc w:val="both"/>
        <w:rPr>
          <w:rFonts w:ascii="Liberation Sans" w:hAnsi="Liberation Sans"/>
          <w:sz w:val="20"/>
          <w:szCs w:val="20"/>
        </w:rPr>
      </w:pPr>
      <w:r>
        <w:rPr>
          <w:rFonts w:ascii="Liberation Sans" w:hAnsi="Liberation Sans"/>
          <w:b/>
          <w:sz w:val="20"/>
          <w:szCs w:val="20"/>
          <w:u w:val="single"/>
        </w:rPr>
        <w:t xml:space="preserve">Aide : </w:t>
      </w:r>
      <w:r w:rsidRPr="00501751">
        <w:rPr>
          <w:rFonts w:ascii="Liberation Sans" w:hAnsi="Liberation Sans"/>
          <w:sz w:val="20"/>
          <w:szCs w:val="20"/>
        </w:rPr>
        <w:t>L’appel à projets ne modifie pas fondamentalement le système de soutien à la méthanisation, constitué :</w:t>
      </w:r>
    </w:p>
    <w:p w:rsidR="00E363B9" w:rsidRPr="00501751" w:rsidRDefault="00E363B9" w:rsidP="00501751">
      <w:pPr>
        <w:pStyle w:val="Standard"/>
        <w:numPr>
          <w:ilvl w:val="0"/>
          <w:numId w:val="9"/>
        </w:numPr>
        <w:shd w:val="clear" w:color="auto" w:fill="FFFFFF"/>
        <w:tabs>
          <w:tab w:val="clear" w:pos="720"/>
          <w:tab w:val="left" w:pos="708"/>
        </w:tabs>
        <w:jc w:val="both"/>
        <w:rPr>
          <w:rFonts w:ascii="Liberation Sans" w:hAnsi="Liberation Sans"/>
          <w:sz w:val="20"/>
          <w:szCs w:val="20"/>
        </w:rPr>
      </w:pPr>
      <w:r w:rsidRPr="00501751">
        <w:rPr>
          <w:rFonts w:ascii="Liberation Sans" w:hAnsi="Liberation Sans"/>
          <w:sz w:val="20"/>
          <w:szCs w:val="20"/>
        </w:rPr>
        <w:t>d’aides à la décision et à l’investissement (ADEME, fonds déchets + un peu fonds chaleur, en 2014 : financem</w:t>
      </w:r>
      <w:r>
        <w:rPr>
          <w:rFonts w:ascii="Liberation Sans" w:hAnsi="Liberation Sans"/>
          <w:sz w:val="20"/>
          <w:szCs w:val="20"/>
        </w:rPr>
        <w:t>ent de 100 projets pour 30 M€)</w:t>
      </w:r>
    </w:p>
    <w:p w:rsidR="00E363B9" w:rsidRPr="00501751" w:rsidRDefault="00E363B9" w:rsidP="00501751">
      <w:pPr>
        <w:pStyle w:val="Standard"/>
        <w:numPr>
          <w:ilvl w:val="0"/>
          <w:numId w:val="9"/>
        </w:numPr>
        <w:shd w:val="clear" w:color="auto" w:fill="FFFFFF"/>
        <w:tabs>
          <w:tab w:val="clear" w:pos="720"/>
          <w:tab w:val="left" w:pos="708"/>
        </w:tabs>
        <w:jc w:val="both"/>
        <w:rPr>
          <w:rFonts w:ascii="Liberation Sans" w:hAnsi="Liberation Sans"/>
          <w:sz w:val="20"/>
          <w:szCs w:val="20"/>
        </w:rPr>
      </w:pPr>
      <w:r w:rsidRPr="00501751">
        <w:rPr>
          <w:rFonts w:ascii="Liberation Sans" w:hAnsi="Liberation Sans"/>
          <w:sz w:val="20"/>
          <w:szCs w:val="20"/>
        </w:rPr>
        <w:t>des tarifs d’achat de l’électr</w:t>
      </w:r>
      <w:r>
        <w:rPr>
          <w:rFonts w:ascii="Liberation Sans" w:hAnsi="Liberation Sans"/>
          <w:sz w:val="20"/>
          <w:szCs w:val="20"/>
        </w:rPr>
        <w:t xml:space="preserve">icité ou du biométhane injecté </w:t>
      </w:r>
    </w:p>
    <w:p w:rsidR="00E363B9" w:rsidRPr="00501751" w:rsidRDefault="00E363B9">
      <w:pPr>
        <w:pStyle w:val="Standard"/>
        <w:shd w:val="clear" w:color="auto" w:fill="FFFFFF"/>
        <w:jc w:val="both"/>
        <w:rPr>
          <w:rFonts w:ascii="Liberation Sans" w:hAnsi="Liberation Sans"/>
          <w:sz w:val="20"/>
          <w:szCs w:val="20"/>
        </w:rPr>
      </w:pPr>
    </w:p>
    <w:p w:rsidR="00E363B9" w:rsidRDefault="00E363B9">
      <w:pPr>
        <w:pStyle w:val="Standard"/>
        <w:shd w:val="clear" w:color="auto" w:fill="FFFFFF"/>
        <w:jc w:val="both"/>
      </w:pPr>
    </w:p>
    <w:p w:rsidR="00E363B9" w:rsidRDefault="00E363B9">
      <w:pPr>
        <w:pStyle w:val="ListParagraph"/>
        <w:numPr>
          <w:ilvl w:val="2"/>
          <w:numId w:val="2"/>
        </w:numPr>
        <w:jc w:val="both"/>
      </w:pPr>
      <w:r>
        <w:rPr>
          <w:rFonts w:ascii="Liberation Sans" w:hAnsi="Liberation Sans"/>
          <w:b/>
          <w:sz w:val="20"/>
          <w:szCs w:val="20"/>
        </w:rPr>
        <w:t>Subvention à l’investissement d’installation de méthanisation</w:t>
      </w:r>
    </w:p>
    <w:p w:rsidR="00E363B9" w:rsidRDefault="00E363B9">
      <w:pPr>
        <w:pStyle w:val="Standard"/>
        <w:shd w:val="clear" w:color="auto" w:fill="FFFFFF"/>
        <w:jc w:val="both"/>
      </w:pPr>
      <w:r>
        <w:rPr>
          <w:rFonts w:ascii="Liberation Sans" w:hAnsi="Liberation Sans"/>
          <w:sz w:val="20"/>
          <w:szCs w:val="20"/>
        </w:rPr>
        <w:t>Subvention à l’investissement d’installations de méthanisation industrielles ou agricoles.</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b/>
          <w:sz w:val="20"/>
          <w:szCs w:val="20"/>
          <w:u w:val="single"/>
        </w:rPr>
        <w:t>Cible </w:t>
      </w:r>
      <w:r>
        <w:rPr>
          <w:rFonts w:ascii="Liberation Sans" w:hAnsi="Liberation Sans"/>
          <w:sz w:val="20"/>
          <w:szCs w:val="20"/>
          <w:u w:val="single"/>
        </w:rPr>
        <w:t>:</w:t>
      </w:r>
      <w:r>
        <w:rPr>
          <w:rFonts w:ascii="Liberation Sans" w:hAnsi="Liberation Sans"/>
          <w:sz w:val="20"/>
          <w:szCs w:val="20"/>
        </w:rPr>
        <w:t xml:space="preserve"> opérations </w:t>
      </w:r>
      <w:r>
        <w:rPr>
          <w:rFonts w:ascii="Liberation Sans" w:hAnsi="Liberation Sans" w:cs="Helv"/>
          <w:sz w:val="20"/>
          <w:szCs w:val="20"/>
        </w:rPr>
        <w:t>portées par le monde agricole et des opérations territoriales associant collectivités et entreprises.</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b/>
          <w:sz w:val="20"/>
          <w:szCs w:val="20"/>
          <w:u w:val="single"/>
        </w:rPr>
        <w:t>Aide </w:t>
      </w:r>
      <w:r>
        <w:rPr>
          <w:rFonts w:ascii="Liberation Sans" w:hAnsi="Liberation Sans"/>
          <w:sz w:val="20"/>
          <w:szCs w:val="20"/>
          <w:u w:val="single"/>
        </w:rPr>
        <w:t>:</w:t>
      </w:r>
      <w:r>
        <w:rPr>
          <w:rFonts w:ascii="Liberation Sans" w:hAnsi="Liberation Sans"/>
          <w:sz w:val="20"/>
          <w:szCs w:val="20"/>
        </w:rPr>
        <w:t xml:space="preserve"> aide à l’investissement de l’ordre de 15% et aide aux études de </w:t>
      </w:r>
      <w:r>
        <w:rPr>
          <w:rFonts w:ascii="Liberation Sans" w:hAnsi="Liberation Sans" w:cs="Helv"/>
          <w:sz w:val="20"/>
          <w:szCs w:val="20"/>
        </w:rPr>
        <w:t>faisabilité avec un maximum de 70 % du coût de l’étude plafonné à 100 000 €.</w:t>
      </w:r>
    </w:p>
    <w:p w:rsidR="00E363B9" w:rsidRDefault="00E363B9">
      <w:pPr>
        <w:pStyle w:val="Standard"/>
        <w:shd w:val="clear" w:color="auto" w:fill="FFFFFF"/>
        <w:jc w:val="both"/>
      </w:pPr>
    </w:p>
    <w:p w:rsidR="00E363B9" w:rsidRDefault="00E363B9">
      <w:pPr>
        <w:pStyle w:val="Standard"/>
        <w:jc w:val="both"/>
      </w:pPr>
      <w:r>
        <w:rPr>
          <w:rFonts w:ascii="Liberation Sans" w:hAnsi="Liberation Sans"/>
          <w:b/>
          <w:sz w:val="20"/>
          <w:szCs w:val="20"/>
          <w:u w:val="single"/>
        </w:rPr>
        <w:t xml:space="preserve">Gestionnaire : </w:t>
      </w:r>
      <w:r>
        <w:rPr>
          <w:rFonts w:ascii="Liberation Sans" w:hAnsi="Liberation Sans"/>
          <w:b/>
          <w:sz w:val="20"/>
          <w:szCs w:val="20"/>
        </w:rPr>
        <w:t>Ademe</w:t>
      </w:r>
    </w:p>
    <w:p w:rsidR="00E363B9" w:rsidRDefault="00E363B9">
      <w:pPr>
        <w:pStyle w:val="Standard"/>
        <w:shd w:val="clear" w:color="auto" w:fill="FFFFFF"/>
        <w:jc w:val="both"/>
      </w:pPr>
    </w:p>
    <w:p w:rsidR="00E363B9" w:rsidRDefault="00E363B9">
      <w:pPr>
        <w:pStyle w:val="ListParagraph"/>
        <w:numPr>
          <w:ilvl w:val="2"/>
          <w:numId w:val="2"/>
        </w:numPr>
        <w:jc w:val="both"/>
      </w:pPr>
      <w:r>
        <w:rPr>
          <w:rFonts w:ascii="Liberation Sans" w:hAnsi="Liberation Sans"/>
          <w:b/>
          <w:sz w:val="20"/>
          <w:szCs w:val="20"/>
        </w:rPr>
        <w:t> Aide à la mise en place d’une redevance incitative sur les ordures ménagères</w:t>
      </w:r>
    </w:p>
    <w:p w:rsidR="00E363B9" w:rsidRDefault="00E363B9">
      <w:pPr>
        <w:pStyle w:val="Standard"/>
      </w:pPr>
    </w:p>
    <w:p w:rsidR="00E363B9" w:rsidRDefault="00E363B9">
      <w:pPr>
        <w:pStyle w:val="Standard"/>
      </w:pPr>
      <w:r>
        <w:rPr>
          <w:rFonts w:ascii="Liberation Sans" w:hAnsi="Liberation Sans"/>
          <w:sz w:val="20"/>
          <w:szCs w:val="20"/>
        </w:rPr>
        <w:t>Soutien à la redevance incitative couvrant les 3 principaux postes nécessaires à l’instauration d’une tarification incitative (TI) : taxe incitative (TEOMI) ou redevance incitative (RI). Financement des études préalables, de la mise en œuvre et des investissements.</w:t>
      </w:r>
    </w:p>
    <w:p w:rsidR="00E363B9" w:rsidRDefault="00E363B9">
      <w:pPr>
        <w:pStyle w:val="Standard"/>
      </w:pPr>
    </w:p>
    <w:p w:rsidR="00E363B9" w:rsidRDefault="00E363B9">
      <w:pPr>
        <w:pStyle w:val="Standard"/>
        <w:shd w:val="clear" w:color="auto" w:fill="FFFFFF"/>
        <w:jc w:val="both"/>
      </w:pPr>
      <w:r>
        <w:rPr>
          <w:rFonts w:ascii="Liberation Sans" w:hAnsi="Liberation Sans"/>
          <w:b/>
          <w:sz w:val="20"/>
          <w:szCs w:val="20"/>
          <w:u w:val="single"/>
        </w:rPr>
        <w:t>Cible :</w:t>
      </w:r>
      <w:r>
        <w:rPr>
          <w:rFonts w:ascii="Liberation Sans" w:hAnsi="Liberation Sans"/>
          <w:b/>
          <w:sz w:val="20"/>
          <w:szCs w:val="20"/>
        </w:rPr>
        <w:t xml:space="preserve"> </w:t>
      </w:r>
      <w:r>
        <w:rPr>
          <w:rFonts w:ascii="Liberation Sans" w:hAnsi="Liberation Sans"/>
          <w:sz w:val="20"/>
          <w:szCs w:val="20"/>
        </w:rPr>
        <w:t>Collectivités, EPCI et syndicats mixtes compétents en matière de déchets.</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b/>
          <w:sz w:val="20"/>
          <w:szCs w:val="20"/>
          <w:u w:val="single"/>
        </w:rPr>
        <w:t>Aide :</w:t>
      </w:r>
      <w:r>
        <w:rPr>
          <w:rFonts w:ascii="Liberation Sans" w:hAnsi="Liberation Sans"/>
          <w:b/>
          <w:sz w:val="20"/>
          <w:szCs w:val="20"/>
        </w:rPr>
        <w:t xml:space="preserve"> </w:t>
      </w:r>
      <w:r>
        <w:rPr>
          <w:rFonts w:ascii="Liberation Sans" w:hAnsi="Liberation Sans"/>
          <w:sz w:val="20"/>
          <w:szCs w:val="20"/>
        </w:rPr>
        <w:t>6,6 € par habitant avec un plafond de 1 million d'euros par opération</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 xml:space="preserve">Gestionnaire : </w:t>
      </w:r>
      <w:r>
        <w:rPr>
          <w:rFonts w:ascii="Liberation Sans" w:hAnsi="Liberation Sans"/>
          <w:b/>
          <w:sz w:val="20"/>
          <w:szCs w:val="20"/>
        </w:rPr>
        <w:t>Ademe</w:t>
      </w:r>
    </w:p>
    <w:p w:rsidR="00E363B9" w:rsidRDefault="00E363B9">
      <w:pPr>
        <w:pStyle w:val="Standard"/>
        <w:jc w:val="both"/>
      </w:pPr>
    </w:p>
    <w:p w:rsidR="00E363B9" w:rsidRDefault="00E363B9">
      <w:pPr>
        <w:pStyle w:val="Standard"/>
        <w:shd w:val="clear" w:color="auto" w:fill="FFFFFF"/>
        <w:jc w:val="both"/>
      </w:pPr>
    </w:p>
    <w:p w:rsidR="00E363B9" w:rsidRPr="00A41CC7" w:rsidRDefault="00E363B9" w:rsidP="00A41CC7">
      <w:pPr>
        <w:pStyle w:val="ListParagraph"/>
        <w:numPr>
          <w:ilvl w:val="2"/>
          <w:numId w:val="2"/>
        </w:numPr>
        <w:jc w:val="both"/>
        <w:rPr>
          <w:rFonts w:ascii="Liberation Sans" w:hAnsi="Liberation Sans"/>
          <w:b/>
          <w:sz w:val="20"/>
          <w:szCs w:val="20"/>
        </w:rPr>
      </w:pPr>
      <w:r w:rsidRPr="00A41CC7">
        <w:rPr>
          <w:rFonts w:ascii="Liberation Sans" w:hAnsi="Liberation Sans"/>
          <w:b/>
          <w:sz w:val="20"/>
          <w:szCs w:val="20"/>
        </w:rPr>
        <w:t>Soutien aux projets en matière de prévention des déchets, collecte pour valorisation, recyclage valorisation organique, matière et énergétique.</w:t>
      </w:r>
    </w:p>
    <w:p w:rsidR="00E363B9" w:rsidRDefault="00E363B9">
      <w:pPr>
        <w:pStyle w:val="Standard"/>
        <w:shd w:val="clear" w:color="auto" w:fill="FFFFFF"/>
        <w:jc w:val="both"/>
      </w:pPr>
      <w:r>
        <w:rPr>
          <w:rFonts w:ascii="Liberation Sans" w:hAnsi="Liberation Sans"/>
          <w:sz w:val="20"/>
          <w:szCs w:val="20"/>
        </w:rPr>
        <w:t>Optimisation et création de centres de tri, rénovation des déchetteries, unités de tri, valorisation des déchets des BTP.</w:t>
      </w:r>
    </w:p>
    <w:p w:rsidR="00E363B9" w:rsidRDefault="00E363B9">
      <w:pPr>
        <w:pStyle w:val="Standard"/>
        <w:shd w:val="clear" w:color="auto" w:fill="FFFFFF"/>
        <w:jc w:val="both"/>
      </w:pPr>
    </w:p>
    <w:p w:rsidR="00E363B9" w:rsidRDefault="00E363B9">
      <w:pPr>
        <w:pStyle w:val="Standard"/>
        <w:shd w:val="clear" w:color="auto" w:fill="FFFFFF"/>
        <w:jc w:val="both"/>
      </w:pPr>
      <w:r>
        <w:rPr>
          <w:rFonts w:ascii="Liberation Sans" w:hAnsi="Liberation Sans"/>
          <w:b/>
          <w:sz w:val="20"/>
          <w:szCs w:val="20"/>
          <w:u w:val="single"/>
        </w:rPr>
        <w:t>Cible </w:t>
      </w:r>
      <w:r>
        <w:rPr>
          <w:rFonts w:ascii="Liberation Sans" w:hAnsi="Liberation Sans"/>
          <w:sz w:val="20"/>
          <w:szCs w:val="20"/>
          <w:u w:val="single"/>
        </w:rPr>
        <w:t>:</w:t>
      </w:r>
      <w:r>
        <w:rPr>
          <w:rFonts w:ascii="Liberation Sans" w:hAnsi="Liberation Sans"/>
          <w:sz w:val="20"/>
          <w:szCs w:val="20"/>
        </w:rPr>
        <w:t xml:space="preserve"> Collectivités et entreprises</w:t>
      </w:r>
    </w:p>
    <w:p w:rsidR="00E363B9" w:rsidRDefault="00E363B9">
      <w:pPr>
        <w:pStyle w:val="Standard"/>
        <w:shd w:val="clear" w:color="auto" w:fill="FFFFFF"/>
        <w:jc w:val="both"/>
      </w:pPr>
    </w:p>
    <w:p w:rsidR="00E363B9" w:rsidRPr="00A41CC7" w:rsidRDefault="00E363B9">
      <w:pPr>
        <w:pStyle w:val="Standard"/>
        <w:shd w:val="clear" w:color="auto" w:fill="FFFFFF"/>
        <w:jc w:val="both"/>
        <w:rPr>
          <w:rFonts w:ascii="Liberation Sans" w:hAnsi="Liberation Sans"/>
          <w:sz w:val="20"/>
          <w:szCs w:val="20"/>
        </w:rPr>
      </w:pPr>
      <w:r>
        <w:rPr>
          <w:rFonts w:ascii="Liberation Sans" w:hAnsi="Liberation Sans"/>
          <w:b/>
          <w:sz w:val="20"/>
          <w:szCs w:val="20"/>
          <w:u w:val="single"/>
        </w:rPr>
        <w:t>Aide :</w:t>
      </w:r>
      <w:r>
        <w:rPr>
          <w:rFonts w:ascii="Liberation Sans" w:hAnsi="Liberation Sans"/>
          <w:sz w:val="20"/>
          <w:szCs w:val="20"/>
        </w:rPr>
        <w:t xml:space="preserve"> 30% maximum </w:t>
      </w:r>
      <w:r w:rsidRPr="00A41CC7">
        <w:rPr>
          <w:rFonts w:ascii="Liberation Sans" w:hAnsi="Liberation Sans"/>
          <w:sz w:val="20"/>
          <w:szCs w:val="20"/>
        </w:rPr>
        <w:t>(55% pour la prévention) ; Assiette de l’aide : 10 M€ maxi</w:t>
      </w:r>
    </w:p>
    <w:p w:rsidR="00E363B9" w:rsidRDefault="00E363B9">
      <w:pPr>
        <w:pStyle w:val="Standard"/>
        <w:shd w:val="clear" w:color="auto" w:fill="FFFFFF"/>
        <w:jc w:val="both"/>
      </w:pPr>
    </w:p>
    <w:p w:rsidR="00E363B9" w:rsidRDefault="00E363B9">
      <w:pPr>
        <w:pStyle w:val="Standard"/>
        <w:jc w:val="both"/>
        <w:rPr>
          <w:rFonts w:ascii="Liberation Sans" w:hAnsi="Liberation Sans"/>
          <w:b/>
          <w:sz w:val="20"/>
          <w:szCs w:val="20"/>
        </w:rPr>
      </w:pPr>
      <w:r>
        <w:rPr>
          <w:rFonts w:ascii="Liberation Sans" w:hAnsi="Liberation Sans"/>
          <w:b/>
          <w:sz w:val="20"/>
          <w:szCs w:val="20"/>
          <w:u w:val="single"/>
        </w:rPr>
        <w:t xml:space="preserve">Gestionnaire : </w:t>
      </w:r>
      <w:r>
        <w:rPr>
          <w:rFonts w:ascii="Liberation Sans" w:hAnsi="Liberation Sans"/>
          <w:b/>
          <w:sz w:val="20"/>
          <w:szCs w:val="20"/>
        </w:rPr>
        <w:t>Ademe</w:t>
      </w:r>
    </w:p>
    <w:p w:rsidR="00E363B9" w:rsidRDefault="00E363B9">
      <w:pPr>
        <w:pStyle w:val="Standard"/>
        <w:jc w:val="both"/>
        <w:rPr>
          <w:rFonts w:ascii="Liberation Sans" w:hAnsi="Liberation Sans"/>
          <w:b/>
          <w:sz w:val="20"/>
          <w:szCs w:val="20"/>
        </w:rPr>
      </w:pPr>
    </w:p>
    <w:p w:rsidR="00E363B9" w:rsidRDefault="00E363B9">
      <w:pPr>
        <w:pStyle w:val="Standard"/>
        <w:jc w:val="both"/>
        <w:rPr>
          <w:rFonts w:ascii="Liberation Sans" w:hAnsi="Liberation Sans"/>
          <w:b/>
          <w:sz w:val="20"/>
          <w:szCs w:val="20"/>
        </w:rPr>
      </w:pPr>
    </w:p>
    <w:p w:rsidR="00E363B9" w:rsidRDefault="00E363B9" w:rsidP="003A6E41">
      <w:pPr>
        <w:pStyle w:val="ListParagraph"/>
        <w:numPr>
          <w:ilvl w:val="1"/>
          <w:numId w:val="2"/>
        </w:numPr>
        <w:shd w:val="clear" w:color="auto" w:fill="D9D9D9"/>
        <w:jc w:val="both"/>
      </w:pPr>
      <w:r>
        <w:rPr>
          <w:rFonts w:ascii="Liberation Sans" w:hAnsi="Liberation Sans"/>
          <w:b/>
          <w:sz w:val="20"/>
          <w:szCs w:val="20"/>
          <w:u w:val="single"/>
        </w:rPr>
        <w:t>Transports</w:t>
      </w:r>
    </w:p>
    <w:p w:rsidR="00E363B9" w:rsidRDefault="00E363B9">
      <w:pPr>
        <w:pStyle w:val="Standard"/>
        <w:jc w:val="both"/>
      </w:pPr>
    </w:p>
    <w:p w:rsidR="00E363B9" w:rsidRDefault="00E363B9">
      <w:pPr>
        <w:pStyle w:val="Standard"/>
        <w:jc w:val="both"/>
      </w:pPr>
    </w:p>
    <w:p w:rsidR="00E363B9" w:rsidRPr="003A6E41" w:rsidRDefault="00E363B9" w:rsidP="003A6E41">
      <w:pPr>
        <w:pStyle w:val="ListParagraph"/>
        <w:numPr>
          <w:ilvl w:val="2"/>
          <w:numId w:val="2"/>
        </w:numPr>
        <w:jc w:val="both"/>
        <w:rPr>
          <w:rFonts w:ascii="Liberation Sans" w:hAnsi="Liberation Sans"/>
          <w:b/>
          <w:sz w:val="20"/>
          <w:szCs w:val="20"/>
        </w:rPr>
      </w:pPr>
      <w:r w:rsidRPr="003A6E41">
        <w:rPr>
          <w:rFonts w:ascii="Liberation Sans" w:hAnsi="Liberation Sans"/>
          <w:b/>
          <w:sz w:val="20"/>
          <w:szCs w:val="20"/>
        </w:rPr>
        <w:t>Appel à projets "transports collectifs et mobilité durable"</w:t>
      </w:r>
    </w:p>
    <w:p w:rsidR="00E363B9" w:rsidRDefault="00E363B9" w:rsidP="00BC17CC">
      <w:pPr>
        <w:pStyle w:val="Standard"/>
        <w:jc w:val="both"/>
      </w:pPr>
    </w:p>
    <w:p w:rsidR="00E363B9" w:rsidRPr="003A6E41" w:rsidRDefault="00E363B9" w:rsidP="003A6E41">
      <w:pPr>
        <w:pStyle w:val="Standard"/>
        <w:jc w:val="both"/>
        <w:rPr>
          <w:rFonts w:ascii="Liberation Sans" w:hAnsi="Liberation Sans"/>
          <w:bCs/>
          <w:sz w:val="20"/>
          <w:szCs w:val="20"/>
        </w:rPr>
      </w:pPr>
      <w:r w:rsidRPr="003A6E41">
        <w:rPr>
          <w:rFonts w:ascii="Liberation Sans" w:hAnsi="Liberation Sans"/>
          <w:bCs/>
          <w:sz w:val="20"/>
          <w:szCs w:val="20"/>
        </w:rPr>
        <w:t>En 2007, l’État s'était engagé à multiplier par cinq le kilométrage des réseaux de transports collectifs en site propre (TCSP) hors Île-de-France, pour le porter de 329 à 1 800 km. Les deux premiers appels à projets (en 2010 et 2011) ont amené à engager environ 1,2 Md€ d’aides de l’Etat pour un investissement global de l'ordre de 12,6 Md€, représentant environ 1 000 km de réseau.</w:t>
      </w:r>
    </w:p>
    <w:p w:rsidR="00E363B9" w:rsidRPr="003A6E41" w:rsidRDefault="00E363B9" w:rsidP="003A6E41">
      <w:pPr>
        <w:pStyle w:val="Standard"/>
        <w:jc w:val="both"/>
        <w:rPr>
          <w:rFonts w:ascii="Liberation Sans" w:hAnsi="Liberation Sans"/>
          <w:bCs/>
          <w:sz w:val="20"/>
          <w:szCs w:val="20"/>
        </w:rPr>
      </w:pPr>
    </w:p>
    <w:p w:rsidR="00E363B9" w:rsidRPr="003A6E41" w:rsidRDefault="00E363B9" w:rsidP="003A6E41">
      <w:pPr>
        <w:pStyle w:val="Standard"/>
        <w:jc w:val="both"/>
        <w:rPr>
          <w:rFonts w:ascii="Liberation Sans" w:hAnsi="Liberation Sans"/>
          <w:bCs/>
          <w:sz w:val="20"/>
          <w:szCs w:val="20"/>
        </w:rPr>
      </w:pPr>
      <w:r w:rsidRPr="003A6E41">
        <w:rPr>
          <w:rFonts w:ascii="Liberation Sans" w:hAnsi="Liberation Sans"/>
          <w:bCs/>
          <w:sz w:val="20"/>
          <w:szCs w:val="20"/>
        </w:rPr>
        <w:t>Le 7 mai 2013, le ministre en charge des transports a lancé un nouvel appel à projets « transports collectifs et mobilité durable ». Il s'inscrit à la suite des précédents mais dans une perspective qui en renouvelle largement les contours, notamment en étant placé dans la droite ligne de la transition énergétique.</w:t>
      </w:r>
    </w:p>
    <w:p w:rsidR="00E363B9" w:rsidRPr="003A6E41" w:rsidRDefault="00E363B9" w:rsidP="003A6E41">
      <w:pPr>
        <w:pStyle w:val="Standard"/>
        <w:jc w:val="both"/>
        <w:rPr>
          <w:rFonts w:ascii="Liberation Sans" w:hAnsi="Liberation Sans"/>
          <w:bCs/>
          <w:sz w:val="20"/>
          <w:szCs w:val="20"/>
        </w:rPr>
      </w:pPr>
      <w:r w:rsidRPr="003A6E41">
        <w:rPr>
          <w:rFonts w:ascii="Liberation Sans" w:hAnsi="Liberation Sans"/>
          <w:bCs/>
          <w:sz w:val="20"/>
          <w:szCs w:val="20"/>
        </w:rPr>
        <w:t xml:space="preserve"> </w:t>
      </w:r>
    </w:p>
    <w:p w:rsidR="00E363B9" w:rsidRPr="003A6E41" w:rsidRDefault="00E363B9" w:rsidP="003A6E41">
      <w:pPr>
        <w:pStyle w:val="Standard"/>
        <w:jc w:val="both"/>
        <w:rPr>
          <w:rFonts w:ascii="Liberation Sans" w:hAnsi="Liberation Sans"/>
          <w:bCs/>
          <w:sz w:val="20"/>
          <w:szCs w:val="20"/>
        </w:rPr>
      </w:pPr>
      <w:r w:rsidRPr="003A6E41">
        <w:rPr>
          <w:rFonts w:ascii="Liberation Sans" w:hAnsi="Liberation Sans"/>
          <w:bCs/>
          <w:sz w:val="20"/>
          <w:szCs w:val="20"/>
        </w:rPr>
        <w:t>Une enveloppe de 450 M€ sur le budget de l’Agence de financement des infrastructures de transport de France (AFITF) a été annoncée. Les projets peuvent être des projets de TCSP (métro, tramway, bus à haut niveau de service (BHNS), transports par câble, navettes fluvio-maritimes…) mais également des projets de mobilité durable innovants, ainsi que des parkings à vélos (de plus de 100 places). Les projets contribuant à l'amélioration de la desserte des quartiers prioritaires de la politique de la ville bénéficient d'une majoration d'un taux de subvention majoré.</w:t>
      </w:r>
    </w:p>
    <w:p w:rsidR="00E363B9" w:rsidRPr="003A6E41" w:rsidRDefault="00E363B9" w:rsidP="003A6E41">
      <w:pPr>
        <w:pStyle w:val="Standard"/>
        <w:jc w:val="both"/>
        <w:rPr>
          <w:rFonts w:ascii="Liberation Sans" w:hAnsi="Liberation Sans"/>
          <w:bCs/>
          <w:sz w:val="20"/>
          <w:szCs w:val="20"/>
        </w:rPr>
      </w:pPr>
    </w:p>
    <w:p w:rsidR="00E363B9" w:rsidRPr="003A6E41" w:rsidRDefault="00E363B9" w:rsidP="003A6E41">
      <w:pPr>
        <w:pStyle w:val="Standard"/>
        <w:jc w:val="both"/>
        <w:rPr>
          <w:rFonts w:ascii="Liberation Sans" w:hAnsi="Liberation Sans"/>
          <w:bCs/>
          <w:sz w:val="20"/>
          <w:szCs w:val="20"/>
        </w:rPr>
      </w:pPr>
      <w:r w:rsidRPr="003A6E41">
        <w:rPr>
          <w:rFonts w:ascii="Liberation Sans" w:hAnsi="Liberation Sans"/>
          <w:bCs/>
          <w:sz w:val="20"/>
          <w:szCs w:val="20"/>
        </w:rPr>
        <w:t>Au 15 septembre 2013, date limite de dépôt, 120 dossiers portés par 70 groupements de collectivités ont été déposés.</w:t>
      </w:r>
      <w:r>
        <w:rPr>
          <w:rFonts w:ascii="Liberation Sans" w:hAnsi="Liberation Sans"/>
          <w:bCs/>
          <w:sz w:val="20"/>
          <w:szCs w:val="20"/>
        </w:rPr>
        <w:t xml:space="preserve"> </w:t>
      </w:r>
      <w:r w:rsidRPr="003A6E41">
        <w:rPr>
          <w:rFonts w:ascii="Liberation Sans" w:hAnsi="Liberation Sans"/>
          <w:bCs/>
          <w:sz w:val="20"/>
          <w:szCs w:val="20"/>
        </w:rPr>
        <w:t xml:space="preserve">Initialement attendus pour décembre 2013, les résultats n'ont pas encore été annoncés en raison des incertitudes liées au financement de l'AFITF. Ils sont désormais prévus pour la fin </w:t>
      </w:r>
      <w:r>
        <w:rPr>
          <w:rFonts w:ascii="Liberation Sans" w:hAnsi="Liberation Sans"/>
          <w:bCs/>
          <w:sz w:val="20"/>
          <w:szCs w:val="20"/>
        </w:rPr>
        <w:t>2014</w:t>
      </w:r>
      <w:r w:rsidRPr="003A6E41">
        <w:rPr>
          <w:rFonts w:ascii="Liberation Sans" w:hAnsi="Liberation Sans"/>
          <w:bCs/>
          <w:sz w:val="20"/>
          <w:szCs w:val="20"/>
        </w:rPr>
        <w:t>.</w:t>
      </w:r>
    </w:p>
    <w:p w:rsidR="00E363B9" w:rsidRPr="003A6E41" w:rsidRDefault="00E363B9" w:rsidP="003A6E41">
      <w:pPr>
        <w:pStyle w:val="Standard"/>
        <w:shd w:val="clear" w:color="auto" w:fill="FFFFFF"/>
        <w:jc w:val="both"/>
        <w:rPr>
          <w:rFonts w:ascii="Liberation Sans" w:hAnsi="Liberation Sans"/>
          <w:sz w:val="20"/>
          <w:szCs w:val="20"/>
        </w:rPr>
      </w:pPr>
    </w:p>
    <w:p w:rsidR="00E363B9" w:rsidRPr="003A6E41" w:rsidRDefault="00E363B9" w:rsidP="003A6E41">
      <w:pPr>
        <w:pStyle w:val="Standard"/>
        <w:shd w:val="clear" w:color="auto" w:fill="FFFFFF"/>
        <w:jc w:val="both"/>
        <w:rPr>
          <w:rFonts w:ascii="Liberation Sans" w:hAnsi="Liberation Sans"/>
          <w:sz w:val="20"/>
          <w:szCs w:val="20"/>
        </w:rPr>
      </w:pPr>
    </w:p>
    <w:p w:rsidR="00E363B9" w:rsidRDefault="00E363B9">
      <w:pPr>
        <w:pStyle w:val="Standard"/>
        <w:jc w:val="both"/>
      </w:pPr>
    </w:p>
    <w:p w:rsidR="00E363B9" w:rsidRDefault="00E363B9">
      <w:pPr>
        <w:pStyle w:val="Standard"/>
        <w:jc w:val="both"/>
      </w:pPr>
    </w:p>
    <w:p w:rsidR="00E363B9" w:rsidRDefault="00E363B9">
      <w:pPr>
        <w:pStyle w:val="ListParagraph"/>
        <w:numPr>
          <w:ilvl w:val="1"/>
          <w:numId w:val="2"/>
        </w:numPr>
        <w:shd w:val="clear" w:color="auto" w:fill="D9D9D9"/>
        <w:jc w:val="both"/>
      </w:pPr>
      <w:r w:rsidRPr="00F92DEE">
        <w:rPr>
          <w:rFonts w:ascii="Liberation Sans" w:hAnsi="Liberation Sans"/>
          <w:b/>
          <w:sz w:val="20"/>
          <w:szCs w:val="20"/>
        </w:rPr>
        <w:t>A</w:t>
      </w:r>
      <w:r>
        <w:rPr>
          <w:rFonts w:ascii="Liberation Sans" w:hAnsi="Liberation Sans"/>
          <w:b/>
          <w:sz w:val="20"/>
          <w:szCs w:val="20"/>
        </w:rPr>
        <w:t>ides</w:t>
      </w:r>
      <w:r w:rsidRPr="00F92DEE">
        <w:rPr>
          <w:rFonts w:ascii="Liberation Sans" w:hAnsi="Liberation Sans"/>
          <w:b/>
          <w:sz w:val="20"/>
          <w:szCs w:val="20"/>
        </w:rPr>
        <w:t xml:space="preserve"> visant à favoriser la prise en compte de la </w:t>
      </w:r>
      <w:r>
        <w:rPr>
          <w:rFonts w:ascii="Liberation Sans" w:hAnsi="Liberation Sans"/>
          <w:b/>
          <w:sz w:val="20"/>
          <w:szCs w:val="20"/>
        </w:rPr>
        <w:t xml:space="preserve"> transition écologique et énergétique </w:t>
      </w:r>
      <w:r w:rsidRPr="00F92DEE">
        <w:rPr>
          <w:rFonts w:ascii="Liberation Sans" w:hAnsi="Liberation Sans"/>
          <w:b/>
          <w:sz w:val="20"/>
          <w:szCs w:val="20"/>
        </w:rPr>
        <w:t xml:space="preserve">par les </w:t>
      </w:r>
      <w:r>
        <w:rPr>
          <w:rFonts w:ascii="Liberation Sans" w:hAnsi="Liberation Sans"/>
          <w:b/>
          <w:sz w:val="20"/>
          <w:szCs w:val="20"/>
        </w:rPr>
        <w:t xml:space="preserve">collectivités </w:t>
      </w:r>
      <w:r w:rsidRPr="00F92DEE">
        <w:rPr>
          <w:rFonts w:ascii="Liberation Sans" w:hAnsi="Liberation Sans"/>
          <w:b/>
          <w:sz w:val="20"/>
          <w:szCs w:val="20"/>
        </w:rPr>
        <w:t xml:space="preserve"> </w:t>
      </w:r>
      <w:r>
        <w:rPr>
          <w:rFonts w:ascii="Liberation Sans" w:hAnsi="Liberation Sans"/>
          <w:b/>
          <w:sz w:val="20"/>
          <w:szCs w:val="20"/>
        </w:rPr>
        <w:t>dans le cadre de démarches intégrées</w:t>
      </w:r>
    </w:p>
    <w:p w:rsidR="00E363B9" w:rsidRDefault="00E363B9">
      <w:pPr>
        <w:pStyle w:val="ListParagraph"/>
        <w:numPr>
          <w:ilvl w:val="2"/>
          <w:numId w:val="2"/>
        </w:numPr>
        <w:jc w:val="both"/>
      </w:pPr>
      <w:r>
        <w:rPr>
          <w:rFonts w:ascii="Liberation Sans" w:hAnsi="Liberation Sans"/>
          <w:b/>
          <w:sz w:val="20"/>
          <w:szCs w:val="20"/>
        </w:rPr>
        <w:t>investissements du secteur public local dans le domaine de la transition énergétique et écologique : le Prêt Croissance verte de la Caisse des Dépôts</w:t>
      </w:r>
    </w:p>
    <w:p w:rsidR="00E363B9" w:rsidRDefault="00E363B9">
      <w:pPr>
        <w:pStyle w:val="Standard"/>
        <w:ind w:left="708" w:firstLine="708"/>
        <w:jc w:val="both"/>
      </w:pPr>
    </w:p>
    <w:p w:rsidR="00E363B9" w:rsidRDefault="00E363B9">
      <w:pPr>
        <w:pStyle w:val="Standard"/>
        <w:jc w:val="both"/>
      </w:pPr>
      <w:r>
        <w:rPr>
          <w:rFonts w:ascii="Liberation Sans" w:hAnsi="Liberation Sans"/>
          <w:bCs/>
          <w:sz w:val="20"/>
          <w:szCs w:val="20"/>
        </w:rPr>
        <w:t xml:space="preserve">Le secteur public local finance de nombreux projets avec une forte composante de développement durable, notamment les projets concernant la réhabilitation des bâtiments publics intégrant généralement un volet de rénovation énergétique, ou encore la construction ou régénération d’infrastructures de transports en commun propres. </w:t>
      </w:r>
    </w:p>
    <w:p w:rsidR="00E363B9" w:rsidRDefault="00E363B9">
      <w:pPr>
        <w:pStyle w:val="Standard"/>
      </w:pPr>
    </w:p>
    <w:p w:rsidR="00E363B9" w:rsidRDefault="00E363B9" w:rsidP="000E5811">
      <w:pPr>
        <w:pStyle w:val="Standard"/>
        <w:jc w:val="both"/>
      </w:pPr>
      <w:r>
        <w:rPr>
          <w:rFonts w:ascii="Liberation Sans" w:hAnsi="Liberation Sans"/>
          <w:bCs/>
          <w:sz w:val="20"/>
          <w:szCs w:val="20"/>
        </w:rPr>
        <w:t>Le prêt croissance verte (PCV) de la Caisse des Dépôts permet de financer les investissements du secteur public local dans le domaine de la transition écologique : rénovation énergétique et construction de bâtiments à énergie positive, transports propres, production d’énergies renouvelables</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Cible</w:t>
      </w:r>
      <w:r>
        <w:rPr>
          <w:rFonts w:ascii="Liberation Sans" w:hAnsi="Liberation Sans"/>
          <w:sz w:val="20"/>
          <w:szCs w:val="20"/>
        </w:rPr>
        <w:t xml:space="preserve"> : </w:t>
      </w:r>
      <w:r>
        <w:rPr>
          <w:rFonts w:ascii="Liberation Sans" w:hAnsi="Liberation Sans"/>
          <w:bCs/>
          <w:sz w:val="20"/>
          <w:szCs w:val="20"/>
        </w:rPr>
        <w:t>financement de projets de long terme des collectivités locales et de leurs opérateurs contribuant à la transition énergétique</w:t>
      </w:r>
    </w:p>
    <w:p w:rsidR="00E363B9" w:rsidRDefault="00E363B9">
      <w:pPr>
        <w:pStyle w:val="Standard"/>
        <w:jc w:val="both"/>
      </w:pPr>
    </w:p>
    <w:p w:rsidR="00E363B9" w:rsidRDefault="00E363B9">
      <w:pPr>
        <w:pStyle w:val="Standard"/>
      </w:pPr>
      <w:r>
        <w:rPr>
          <w:rFonts w:ascii="Liberation Sans" w:hAnsi="Liberation Sans"/>
          <w:b/>
          <w:color w:val="00000A"/>
          <w:sz w:val="20"/>
          <w:szCs w:val="20"/>
          <w:u w:val="single"/>
        </w:rPr>
        <w:t>Modalités</w:t>
      </w:r>
      <w:r>
        <w:rPr>
          <w:rFonts w:ascii="Liberation Sans" w:hAnsi="Liberation Sans"/>
          <w:bCs/>
          <w:color w:val="00000A"/>
          <w:sz w:val="20"/>
          <w:szCs w:val="20"/>
        </w:rPr>
        <w:t> :</w:t>
      </w:r>
      <w:r>
        <w:rPr>
          <w:rFonts w:ascii="Liberation Sans" w:hAnsi="Liberation Sans"/>
          <w:bCs/>
          <w:sz w:val="20"/>
          <w:szCs w:val="20"/>
        </w:rPr>
        <w:t xml:space="preserve"> </w:t>
      </w:r>
      <w:r>
        <w:rPr>
          <w:rFonts w:ascii="Liberation Sans" w:hAnsi="Liberation Sans"/>
          <w:bCs/>
          <w:color w:val="00000A"/>
          <w:sz w:val="20"/>
          <w:szCs w:val="20"/>
          <w:lang w:eastAsia="en-US"/>
        </w:rPr>
        <w:t xml:space="preserve">enveloppe de 5 Milliard d’euros ouverte jusqu’en 2017,  taux  des prêts  à Livret A + 0,75 % sur une durée de 20 à 40 ans (soit un taux de 1,75% en novembre 2014). </w:t>
      </w:r>
    </w:p>
    <w:p w:rsidR="00E363B9" w:rsidRDefault="00E363B9">
      <w:pPr>
        <w:pStyle w:val="Standard"/>
      </w:pPr>
    </w:p>
    <w:p w:rsidR="00E363B9" w:rsidRDefault="00E363B9">
      <w:pPr>
        <w:pStyle w:val="Standard"/>
        <w:jc w:val="both"/>
      </w:pPr>
      <w:r>
        <w:rPr>
          <w:rFonts w:ascii="Liberation Sans" w:hAnsi="Liberation Sans"/>
          <w:b/>
          <w:sz w:val="20"/>
          <w:szCs w:val="20"/>
          <w:u w:val="single"/>
        </w:rPr>
        <w:t xml:space="preserve">Gestionnaire : </w:t>
      </w:r>
      <w:r>
        <w:rPr>
          <w:rFonts w:ascii="Liberation Sans" w:hAnsi="Liberation Sans"/>
          <w:b/>
          <w:sz w:val="20"/>
          <w:szCs w:val="20"/>
        </w:rPr>
        <w:t xml:space="preserve">Caisse des dépôts </w:t>
      </w:r>
    </w:p>
    <w:p w:rsidR="00E363B9" w:rsidRDefault="00E363B9">
      <w:pPr>
        <w:pStyle w:val="Standard"/>
      </w:pPr>
    </w:p>
    <w:p w:rsidR="00E363B9" w:rsidRDefault="00E363B9">
      <w:pPr>
        <w:pStyle w:val="Standard"/>
      </w:pPr>
    </w:p>
    <w:p w:rsidR="00E363B9" w:rsidRDefault="00E363B9">
      <w:pPr>
        <w:pStyle w:val="ListParagraph"/>
        <w:ind w:left="1980"/>
        <w:jc w:val="both"/>
      </w:pPr>
    </w:p>
    <w:p w:rsidR="00E363B9" w:rsidRDefault="00E363B9">
      <w:pPr>
        <w:pStyle w:val="ListParagraph"/>
        <w:numPr>
          <w:ilvl w:val="2"/>
          <w:numId w:val="2"/>
        </w:numPr>
        <w:jc w:val="both"/>
      </w:pPr>
      <w:r>
        <w:rPr>
          <w:rFonts w:ascii="Liberation Sans" w:hAnsi="Liberation Sans"/>
          <w:b/>
          <w:sz w:val="20"/>
          <w:szCs w:val="20"/>
        </w:rPr>
        <w:t xml:space="preserve">Appel à initiative </w:t>
      </w:r>
      <w:r>
        <w:rPr>
          <w:rFonts w:ascii="Liberation Sans" w:hAnsi="Liberation Sans"/>
          <w:sz w:val="20"/>
          <w:szCs w:val="20"/>
        </w:rPr>
        <w:t xml:space="preserve">« </w:t>
      </w:r>
      <w:r>
        <w:rPr>
          <w:rFonts w:ascii="Liberation Sans" w:hAnsi="Liberation Sans"/>
          <w:b/>
          <w:sz w:val="20"/>
          <w:szCs w:val="20"/>
        </w:rPr>
        <w:t>200 territoires à énergies positive pour la croissance verte »</w:t>
      </w:r>
    </w:p>
    <w:p w:rsidR="00E363B9" w:rsidRDefault="00E363B9">
      <w:pPr>
        <w:pStyle w:val="ListParagraph"/>
        <w:jc w:val="both"/>
      </w:pPr>
    </w:p>
    <w:p w:rsidR="00E363B9" w:rsidRDefault="00E363B9" w:rsidP="00AB35DC">
      <w:pPr>
        <w:pStyle w:val="Standard"/>
        <w:spacing w:after="120"/>
        <w:jc w:val="both"/>
        <w:rPr>
          <w:rFonts w:ascii="Liberation Sans" w:hAnsi="Liberation Sans"/>
          <w:sz w:val="20"/>
          <w:szCs w:val="20"/>
        </w:rPr>
      </w:pPr>
      <w:r>
        <w:rPr>
          <w:rFonts w:ascii="Liberation Sans" w:hAnsi="Liberation Sans"/>
          <w:sz w:val="20"/>
          <w:szCs w:val="20"/>
        </w:rPr>
        <w:t>En coordination avec la ministre du logement, de l’égalité des territoires et de la ruralité, Ségolène Royal, ministre de l’écologie, du développement durable et de l’énergie, a lancé le 4 septembre 2014 l’appel à initiatives "Te</w:t>
      </w:r>
      <w:r>
        <w:rPr>
          <w:rFonts w:ascii="Liberation Sans" w:hAnsi="Liberation Sans"/>
          <w:bCs/>
          <w:sz w:val="20"/>
          <w:szCs w:val="20"/>
        </w:rPr>
        <w:t>rritoire à énergie positive pour une croissance verte</w:t>
      </w:r>
      <w:r>
        <w:rPr>
          <w:rFonts w:ascii="Liberation Sans" w:hAnsi="Liberation Sans"/>
          <w:sz w:val="20"/>
          <w:szCs w:val="20"/>
        </w:rPr>
        <w:t xml:space="preserve">" (TEPCV). </w:t>
      </w:r>
      <w:r w:rsidRPr="00AB35DC">
        <w:rPr>
          <w:rFonts w:ascii="Liberation Sans" w:hAnsi="Liberation Sans"/>
          <w:sz w:val="20"/>
          <w:szCs w:val="20"/>
        </w:rPr>
        <w:t xml:space="preserve">Le projet de loi transition énergétique défini un « territoire à énergie positive» comme un territoire qui s'engage dans une démarche permettant d'atteindre l'équilibre entre la consommation et la production d'énergie à l'échelle locale en réduisant les besoins d'énergie au maximum. Un territoire à énergie positive doit favoriser l'efficacité énergétique et viser le déploiement d'énergies renouvelables dans son approvisionnement. </w:t>
      </w:r>
    </w:p>
    <w:p w:rsidR="00E363B9" w:rsidRPr="007C241C" w:rsidRDefault="00E363B9" w:rsidP="007C241C">
      <w:pPr>
        <w:pStyle w:val="Standard"/>
        <w:spacing w:after="120"/>
        <w:jc w:val="both"/>
        <w:rPr>
          <w:rFonts w:ascii="Liberation Sans" w:hAnsi="Liberation Sans"/>
          <w:sz w:val="20"/>
          <w:szCs w:val="20"/>
        </w:rPr>
      </w:pPr>
      <w:r w:rsidRPr="00AB35DC">
        <w:rPr>
          <w:rFonts w:ascii="Liberation Sans" w:hAnsi="Liberation Sans"/>
          <w:sz w:val="20"/>
          <w:szCs w:val="20"/>
        </w:rPr>
        <w:t xml:space="preserve">Plus de 530 projets </w:t>
      </w:r>
      <w:r>
        <w:rPr>
          <w:rFonts w:ascii="Liberation Sans" w:hAnsi="Liberation Sans"/>
          <w:sz w:val="20"/>
          <w:szCs w:val="20"/>
        </w:rPr>
        <w:t>ont été enregistrés au 01 décembre 2014.</w:t>
      </w:r>
      <w:r w:rsidRPr="00152196">
        <w:rPr>
          <w:rFonts w:ascii="Liberation Sans" w:hAnsi="Liberation Sans"/>
          <w:sz w:val="20"/>
          <w:szCs w:val="20"/>
        </w:rPr>
        <w:t xml:space="preserve"> </w:t>
      </w:r>
      <w:r w:rsidRPr="00FF2077">
        <w:rPr>
          <w:rFonts w:ascii="Liberation Sans" w:hAnsi="Liberation Sans"/>
          <w:sz w:val="20"/>
          <w:szCs w:val="20"/>
        </w:rPr>
        <w:t>Toutes les collectivités qui ont candidatées seront accompagnées par les services de l’Etat en région et département.</w:t>
      </w:r>
      <w:r>
        <w:rPr>
          <w:rFonts w:ascii="Liberation Sans" w:hAnsi="Liberation Sans"/>
          <w:sz w:val="20"/>
          <w:szCs w:val="20"/>
        </w:rPr>
        <w:t xml:space="preserve"> </w:t>
      </w:r>
      <w:r w:rsidRPr="007C241C">
        <w:rPr>
          <w:rFonts w:ascii="Liberation Sans" w:hAnsi="Liberation Sans"/>
          <w:sz w:val="20"/>
          <w:szCs w:val="20"/>
        </w:rPr>
        <w:t xml:space="preserve">Les dispositifs de soutien financier et technique et l’accompagnement des services de l’Etat dans la démarche de projet seront formalisés dans le cadre d’un « contrat local de transition énergétique ». </w:t>
      </w:r>
    </w:p>
    <w:p w:rsidR="00E363B9" w:rsidRPr="007C241C" w:rsidRDefault="00E363B9" w:rsidP="007C241C">
      <w:pPr>
        <w:pStyle w:val="Standard"/>
        <w:spacing w:after="120"/>
        <w:jc w:val="both"/>
        <w:rPr>
          <w:rFonts w:ascii="Liberation Sans" w:hAnsi="Liberation Sans"/>
          <w:sz w:val="20"/>
          <w:szCs w:val="20"/>
        </w:rPr>
      </w:pPr>
      <w:r w:rsidRPr="007C241C">
        <w:rPr>
          <w:rFonts w:ascii="Liberation Sans" w:hAnsi="Liberation Sans"/>
          <w:sz w:val="20"/>
          <w:szCs w:val="20"/>
        </w:rPr>
        <w:t xml:space="preserve">La ministre communiquera sur les résultats de l’appel à </w:t>
      </w:r>
      <w:r>
        <w:rPr>
          <w:rFonts w:ascii="Liberation Sans" w:hAnsi="Liberation Sans"/>
          <w:sz w:val="20"/>
          <w:szCs w:val="20"/>
        </w:rPr>
        <w:t xml:space="preserve">projet en </w:t>
      </w:r>
      <w:r w:rsidRPr="007C241C">
        <w:rPr>
          <w:rFonts w:ascii="Liberation Sans" w:hAnsi="Liberation Sans"/>
          <w:sz w:val="20"/>
          <w:szCs w:val="20"/>
        </w:rPr>
        <w:t xml:space="preserve">janvier 2015.  </w:t>
      </w:r>
    </w:p>
    <w:p w:rsidR="00E363B9" w:rsidRDefault="00E363B9" w:rsidP="00AB35DC">
      <w:pPr>
        <w:pStyle w:val="Standard"/>
        <w:spacing w:after="120"/>
        <w:jc w:val="both"/>
        <w:rPr>
          <w:rFonts w:ascii="Liberation Sans" w:hAnsi="Liberation Sans"/>
          <w:sz w:val="20"/>
          <w:szCs w:val="20"/>
        </w:rPr>
      </w:pPr>
      <w:r>
        <w:rPr>
          <w:rFonts w:ascii="Liberation Sans" w:hAnsi="Liberation Sans"/>
          <w:b/>
          <w:sz w:val="20"/>
          <w:szCs w:val="20"/>
          <w:u w:val="single"/>
        </w:rPr>
        <w:t>Cible</w:t>
      </w:r>
      <w:r>
        <w:rPr>
          <w:rFonts w:ascii="Liberation Sans" w:hAnsi="Liberation Sans"/>
          <w:sz w:val="20"/>
          <w:szCs w:val="20"/>
        </w:rPr>
        <w:t> : collectivités, EPCI, Pays</w:t>
      </w:r>
    </w:p>
    <w:p w:rsidR="00E363B9" w:rsidRPr="00733B1A" w:rsidRDefault="00E363B9" w:rsidP="00733B1A">
      <w:pPr>
        <w:pStyle w:val="Standard"/>
        <w:spacing w:after="120"/>
        <w:jc w:val="both"/>
        <w:rPr>
          <w:rFonts w:ascii="Liberation Sans" w:hAnsi="Liberation Sans"/>
          <w:sz w:val="20"/>
          <w:szCs w:val="20"/>
        </w:rPr>
      </w:pPr>
      <w:r>
        <w:rPr>
          <w:rFonts w:ascii="Liberation Sans" w:hAnsi="Liberation Sans"/>
          <w:b/>
          <w:color w:val="00000A"/>
          <w:sz w:val="20"/>
          <w:szCs w:val="20"/>
          <w:u w:val="single"/>
        </w:rPr>
        <w:t>Modalités</w:t>
      </w:r>
      <w:r>
        <w:rPr>
          <w:rFonts w:ascii="Liberation Sans" w:hAnsi="Liberation Sans"/>
          <w:bCs/>
          <w:color w:val="00000A"/>
          <w:sz w:val="20"/>
          <w:szCs w:val="20"/>
        </w:rPr>
        <w:t> :</w:t>
      </w:r>
      <w:r>
        <w:rPr>
          <w:rFonts w:ascii="Liberation Sans" w:hAnsi="Liberation Sans"/>
          <w:bCs/>
          <w:sz w:val="20"/>
          <w:szCs w:val="20"/>
        </w:rPr>
        <w:t xml:space="preserve"> </w:t>
      </w:r>
      <w:r>
        <w:rPr>
          <w:rFonts w:ascii="Liberation Sans" w:hAnsi="Liberation Sans"/>
          <w:sz w:val="20"/>
          <w:szCs w:val="20"/>
        </w:rPr>
        <w:t>Les  démarches présentant l’approche la plus large et la plus ambitieuse en matière de performance énergétique seront soutenues par un financement dédié notamment à l’animation locale et à l’ingénierie de projet.</w:t>
      </w:r>
      <w:r w:rsidRPr="007C241C">
        <w:rPr>
          <w:rFonts w:ascii="Liberation Sans" w:hAnsi="Liberation Sans"/>
          <w:sz w:val="20"/>
          <w:szCs w:val="20"/>
        </w:rPr>
        <w:t xml:space="preserve"> Les lauréats de l’appel à projet bénéficier</w:t>
      </w:r>
      <w:r>
        <w:rPr>
          <w:rFonts w:ascii="Liberation Sans" w:hAnsi="Liberation Sans"/>
          <w:sz w:val="20"/>
          <w:szCs w:val="20"/>
        </w:rPr>
        <w:t>ont en 2015</w:t>
      </w:r>
      <w:r w:rsidRPr="007C241C">
        <w:rPr>
          <w:rFonts w:ascii="Liberation Sans" w:hAnsi="Liberation Sans"/>
          <w:sz w:val="20"/>
          <w:szCs w:val="20"/>
        </w:rPr>
        <w:t xml:space="preserve"> du nouveau système d’aide de l’ADEME, qui s’est dotée de 20M€ supplémentaires en 2015 dans le cadre des CPER, mobilisables pour ces territoires. </w:t>
      </w:r>
      <w:r w:rsidRPr="00733B1A">
        <w:rPr>
          <w:rFonts w:ascii="Liberation Sans" w:hAnsi="Liberation Sans"/>
          <w:sz w:val="20"/>
          <w:szCs w:val="20"/>
        </w:rPr>
        <w:t xml:space="preserve">De plus, une enveloppe de [80 </w:t>
      </w:r>
      <w:r>
        <w:rPr>
          <w:rFonts w:ascii="Liberation Sans" w:hAnsi="Liberation Sans"/>
          <w:sz w:val="20"/>
          <w:szCs w:val="20"/>
        </w:rPr>
        <w:t xml:space="preserve">à 100 </w:t>
      </w:r>
      <w:r w:rsidRPr="00733B1A">
        <w:rPr>
          <w:rFonts w:ascii="Liberation Sans" w:hAnsi="Liberation Sans"/>
          <w:sz w:val="20"/>
          <w:szCs w:val="20"/>
        </w:rPr>
        <w:t>M€] sera gérée par la Caisse des Dépôts et Consignations dans le cadre du Fonds national de financement de la transition énergétique, et sera principalement dédiée à la mise en œuvre des plans d’actions des collectivités lauréates.</w:t>
      </w:r>
    </w:p>
    <w:p w:rsidR="00E363B9" w:rsidRDefault="00E363B9">
      <w:pPr>
        <w:pStyle w:val="ListParagraph"/>
        <w:ind w:left="1980"/>
        <w:jc w:val="both"/>
      </w:pPr>
    </w:p>
    <w:p w:rsidR="00E363B9" w:rsidRDefault="00E363B9">
      <w:pPr>
        <w:pStyle w:val="ListParagraph"/>
        <w:numPr>
          <w:ilvl w:val="2"/>
          <w:numId w:val="2"/>
        </w:numPr>
        <w:jc w:val="both"/>
      </w:pPr>
      <w:r>
        <w:rPr>
          <w:rFonts w:ascii="Liberation Sans" w:hAnsi="Liberation Sans"/>
          <w:b/>
          <w:sz w:val="20"/>
          <w:szCs w:val="20"/>
        </w:rPr>
        <w:t>Programme des investissements d’avenir : fonds ville de demain pour les grandes métropoles</w:t>
      </w:r>
    </w:p>
    <w:p w:rsidR="00E363B9" w:rsidRDefault="00E363B9">
      <w:pPr>
        <w:pStyle w:val="Standard"/>
      </w:pPr>
    </w:p>
    <w:p w:rsidR="00E363B9" w:rsidRDefault="00E363B9">
      <w:pPr>
        <w:pStyle w:val="Standard"/>
        <w:spacing w:after="120"/>
        <w:jc w:val="both"/>
      </w:pPr>
      <w:r>
        <w:rPr>
          <w:rFonts w:ascii="Liberation Sans" w:hAnsi="Liberation Sans"/>
          <w:sz w:val="20"/>
          <w:szCs w:val="20"/>
        </w:rPr>
        <w:t>Créé en 2010 dans le cadre du programme « transport et urbanisme durable » dirigé par le SG MEDDE/MLETR, le fonds est opéré par la CDC, et doté d’un montant total de 700 M€ (participations : 165 M€, subventions : 535M€). Il vise à soutenir l’investissement dans des projets urbains innovants portés par les métropoles. La 1ere tranche se termine fin 2014. D’autres demandes de financements pourront être déposées pour la tranche 2 qui est dotée de 180 M€ de subvention.</w:t>
      </w:r>
    </w:p>
    <w:p w:rsidR="00E363B9" w:rsidRDefault="00E363B9">
      <w:pPr>
        <w:pStyle w:val="Standard"/>
        <w:spacing w:after="120"/>
        <w:jc w:val="both"/>
      </w:pPr>
      <w:r>
        <w:rPr>
          <w:rFonts w:ascii="Liberation Sans" w:hAnsi="Liberation Sans"/>
          <w:sz w:val="20"/>
          <w:szCs w:val="20"/>
          <w:u w:val="single"/>
        </w:rPr>
        <w:t>Cible</w:t>
      </w:r>
      <w:r>
        <w:rPr>
          <w:rFonts w:ascii="Liberation Sans" w:hAnsi="Liberation Sans"/>
          <w:sz w:val="20"/>
          <w:szCs w:val="20"/>
        </w:rPr>
        <w:t> : 19 écocités sont éligibles à ce jour. Bordeaux : EcoCité « Plaine de Garonne » ; Clermont-Ferrand : EcoCité Clermont Métropole ; Choisy-le-Roi et Vitry-sur-Seine : EcoCité des Grandes Ardoines ; Grenoble : EcoCité grenobloise ; Lille : EcoCité Lille Métropole ; Lyon : EcoCité du Grand Lyon ; Marseille : EcoCité Euroméditerranée ; Metz : EcoCité Metz Métropole ; Montpellier : EcoCité « De Montpellier à la mer » ; Nantes / Saint-Nazaire : EcoCité éco.métropole ; Nice : EcoCité Nice Côte d’Azur - Plaine du Var ; Champs-sur-Marne et Noisy-le-Grand : EcoCité Noisy - Champs – Cité Descartes ; Pays Haut Val d’Alzette : EcoCité Alzette-Belval ;  Plaine Commune : EcoCité « Terre de partage et d’innovation urbaine » ; Rennes : EcoCité « ViaSilva 2040 » ;   Rouen : EcoCité CREA 2030 ; Strasbourg / Kehl : EcoCité « Métropole des Deux-Rives » ; Territoire de la Côte Ouest – La Réunion : EcoCité « insulaire et tropicale » ; Toulouse : EcoCité Toulouse – Plaine Campus</w:t>
      </w:r>
    </w:p>
    <w:p w:rsidR="00E363B9" w:rsidRDefault="00E363B9">
      <w:pPr>
        <w:pStyle w:val="Standard"/>
        <w:spacing w:after="120"/>
        <w:jc w:val="both"/>
      </w:pPr>
      <w:r>
        <w:rPr>
          <w:rFonts w:ascii="Liberation Sans" w:hAnsi="Liberation Sans"/>
          <w:sz w:val="20"/>
          <w:szCs w:val="20"/>
          <w:u w:val="single"/>
        </w:rPr>
        <w:t>Aide</w:t>
      </w:r>
      <w:r>
        <w:rPr>
          <w:rFonts w:ascii="Liberation Sans" w:hAnsi="Liberation Sans"/>
          <w:sz w:val="20"/>
          <w:szCs w:val="20"/>
        </w:rPr>
        <w:t> : pour les subventions, de 10 à 35 % des coûts d’investissement éligibles et de 10 à 50% selon les cas pour l’ingénierie. Pour les prises de participation, moins de 50% du capital.</w:t>
      </w:r>
    </w:p>
    <w:p w:rsidR="00E363B9" w:rsidRDefault="00E363B9">
      <w:pPr>
        <w:pStyle w:val="Standard"/>
        <w:jc w:val="both"/>
      </w:pPr>
      <w:r>
        <w:rPr>
          <w:rFonts w:ascii="Liberation Sans" w:hAnsi="Liberation Sans"/>
          <w:b/>
          <w:sz w:val="20"/>
          <w:szCs w:val="20"/>
          <w:u w:val="single"/>
        </w:rPr>
        <w:t xml:space="preserve">Gestionnaire : </w:t>
      </w:r>
      <w:r>
        <w:rPr>
          <w:rFonts w:ascii="Liberation Sans" w:hAnsi="Liberation Sans"/>
          <w:b/>
          <w:sz w:val="20"/>
          <w:szCs w:val="20"/>
        </w:rPr>
        <w:t>Caisse des dépôts</w:t>
      </w:r>
    </w:p>
    <w:p w:rsidR="00E363B9" w:rsidRDefault="00E363B9">
      <w:pPr>
        <w:pStyle w:val="Standard"/>
        <w:spacing w:after="120"/>
        <w:jc w:val="both"/>
      </w:pPr>
      <w:r>
        <w:rPr>
          <w:rFonts w:ascii="Liberation Sans" w:hAnsi="Liberation Sans"/>
          <w:sz w:val="20"/>
          <w:szCs w:val="20"/>
        </w:rPr>
        <w:t xml:space="preserve">Site : </w:t>
      </w:r>
      <w:hyperlink r:id="rId13">
        <w:r>
          <w:rPr>
            <w:rStyle w:val="LienInternet"/>
            <w:rFonts w:ascii="Liberation Sans" w:hAnsi="Liberation Sans" w:cs="Arial"/>
            <w:sz w:val="20"/>
            <w:szCs w:val="20"/>
          </w:rPr>
          <w:t>http://www.territoires.gouv.fr/les-ecocites</w:t>
        </w:r>
      </w:hyperlink>
      <w:r>
        <w:rPr>
          <w:rFonts w:ascii="Liberation Sans" w:hAnsi="Liberation Sans"/>
          <w:sz w:val="20"/>
          <w:szCs w:val="20"/>
        </w:rPr>
        <w:t>.</w:t>
      </w:r>
    </w:p>
    <w:p w:rsidR="00E363B9" w:rsidRDefault="00E363B9">
      <w:pPr>
        <w:pStyle w:val="Standard"/>
        <w:spacing w:after="120"/>
        <w:jc w:val="both"/>
      </w:pPr>
      <w:hyperlink r:id="rId14">
        <w:r>
          <w:rPr>
            <w:rStyle w:val="LienInternet"/>
            <w:rFonts w:ascii="Liberation Sans" w:hAnsi="Liberation Sans" w:cs="Arial"/>
            <w:sz w:val="20"/>
            <w:szCs w:val="20"/>
          </w:rPr>
          <w:t>http://www.caissedesdepots.fr/activite/domaines-daction/investissements-davenir/ville-de-demain-1000-meur.html</w:t>
        </w:r>
      </w:hyperlink>
    </w:p>
    <w:p w:rsidR="00E363B9" w:rsidRDefault="00E363B9">
      <w:pPr>
        <w:pStyle w:val="Standard"/>
        <w:spacing w:after="120"/>
        <w:jc w:val="both"/>
      </w:pPr>
    </w:p>
    <w:p w:rsidR="00E363B9" w:rsidRDefault="00E363B9">
      <w:pPr>
        <w:pStyle w:val="Standard"/>
      </w:pPr>
    </w:p>
    <w:p w:rsidR="00E363B9" w:rsidRDefault="00E363B9">
      <w:pPr>
        <w:pStyle w:val="ListParagraph"/>
        <w:numPr>
          <w:ilvl w:val="2"/>
          <w:numId w:val="2"/>
        </w:numPr>
        <w:jc w:val="both"/>
      </w:pPr>
      <w:r>
        <w:rPr>
          <w:rFonts w:ascii="Liberation Sans" w:hAnsi="Liberation Sans"/>
          <w:b/>
          <w:sz w:val="20"/>
          <w:szCs w:val="20"/>
        </w:rPr>
        <w:t xml:space="preserve">Programme des investissements d’avenir : action Projets territoriaux intégrés pour la transition énergétique </w:t>
      </w:r>
    </w:p>
    <w:p w:rsidR="00E363B9" w:rsidRDefault="00E363B9">
      <w:pPr>
        <w:pStyle w:val="Standard"/>
        <w:jc w:val="both"/>
      </w:pPr>
      <w:r>
        <w:rPr>
          <w:rFonts w:ascii="Liberation Sans" w:hAnsi="Liberation Sans"/>
          <w:sz w:val="20"/>
          <w:szCs w:val="20"/>
        </w:rPr>
        <w:t>Cette action vise à soutenir l’émergence d’une dizaine de « territoires à énergie positive », démonstrateurs, dans des collectivités locales de taille moyenne - plus petites que la majorité des EcoCités, et néanmoins suffisante pour porter un tel projet d’aménagement et accueillir des innovations structurantes.</w:t>
      </w:r>
      <w:r w:rsidRPr="00471AFE">
        <w:rPr>
          <w:rFonts w:ascii="Liberation Sans" w:hAnsi="Liberation Sans"/>
          <w:sz w:val="20"/>
          <w:szCs w:val="20"/>
        </w:rPr>
        <w:t xml:space="preserve"> </w:t>
      </w:r>
      <w:r>
        <w:rPr>
          <w:rFonts w:ascii="Liberation Sans" w:hAnsi="Liberation Sans"/>
          <w:sz w:val="20"/>
          <w:szCs w:val="20"/>
        </w:rPr>
        <w:t>La cible est les l</w:t>
      </w:r>
      <w:r w:rsidRPr="007C241C">
        <w:rPr>
          <w:rFonts w:ascii="Liberation Sans" w:hAnsi="Liberation Sans"/>
          <w:sz w:val="20"/>
          <w:szCs w:val="20"/>
        </w:rPr>
        <w:t>es EPCI dont la population n’excédera pas 300</w:t>
      </w:r>
      <w:r>
        <w:rPr>
          <w:rFonts w:ascii="Liberation Sans" w:hAnsi="Liberation Sans"/>
          <w:sz w:val="20"/>
          <w:szCs w:val="20"/>
        </w:rPr>
        <w:t xml:space="preserve"> 000 habitants, qui ont candidaté à l’appel à projet « territoires à énergie positive pour la croissance verte » et auront été </w:t>
      </w:r>
      <w:r w:rsidRPr="007C241C">
        <w:rPr>
          <w:rFonts w:ascii="Liberation Sans" w:hAnsi="Liberation Sans"/>
          <w:sz w:val="20"/>
          <w:szCs w:val="20"/>
        </w:rPr>
        <w:t>proposés par les DREAL pour bénéficier des financements du programme des investissements d’avenir.</w:t>
      </w:r>
    </w:p>
    <w:p w:rsidR="00E363B9" w:rsidRDefault="00E363B9">
      <w:pPr>
        <w:pStyle w:val="Standard"/>
        <w:jc w:val="both"/>
      </w:pPr>
      <w:r>
        <w:rPr>
          <w:rFonts w:ascii="Liberation Sans" w:hAnsi="Liberation Sans"/>
          <w:sz w:val="20"/>
          <w:szCs w:val="20"/>
        </w:rPr>
        <w:t>Pour atteindre un tel objectif, ces territoires devront fortement réduire leur consommation en énergie et couvrir leurs besoins au maximum par des énergies renouvelables. Ils feront ainsi appel à des dispositifs intégrés et performants en matière de sobriété et d’efficacité énergétique, et d’utilisation des énergies renouvelables et de récupération.</w:t>
      </w:r>
    </w:p>
    <w:p w:rsidR="00E363B9" w:rsidRDefault="00E363B9">
      <w:pPr>
        <w:pStyle w:val="Standard"/>
        <w:spacing w:after="120"/>
        <w:jc w:val="both"/>
      </w:pPr>
      <w:r>
        <w:rPr>
          <w:rFonts w:ascii="Liberation Sans" w:hAnsi="Liberation Sans"/>
          <w:sz w:val="20"/>
          <w:szCs w:val="20"/>
        </w:rPr>
        <w:t>Le premier appel à projets pourrait être ouvert en mars 2015.</w:t>
      </w:r>
    </w:p>
    <w:p w:rsidR="00E363B9" w:rsidRPr="00E8279C" w:rsidRDefault="00E363B9" w:rsidP="00471AFE">
      <w:pPr>
        <w:pStyle w:val="Standard"/>
        <w:spacing w:after="120"/>
        <w:jc w:val="both"/>
        <w:rPr>
          <w:rFonts w:ascii="Liberation Sans" w:hAnsi="Liberation Sans"/>
          <w:sz w:val="20"/>
          <w:szCs w:val="20"/>
        </w:rPr>
      </w:pPr>
      <w:r>
        <w:rPr>
          <w:rFonts w:ascii="Liberation Sans" w:hAnsi="Liberation Sans"/>
          <w:b/>
          <w:sz w:val="20"/>
          <w:szCs w:val="20"/>
          <w:u w:val="single"/>
        </w:rPr>
        <w:t>Aide :</w:t>
      </w:r>
      <w:r>
        <w:rPr>
          <w:rFonts w:ascii="Liberation Sans" w:hAnsi="Liberation Sans"/>
          <w:sz w:val="20"/>
          <w:szCs w:val="20"/>
        </w:rPr>
        <w:t xml:space="preserve"> U</w:t>
      </w:r>
      <w:r w:rsidRPr="00E8279C">
        <w:rPr>
          <w:rFonts w:ascii="Liberation Sans" w:hAnsi="Liberation Sans"/>
          <w:sz w:val="20"/>
          <w:szCs w:val="20"/>
        </w:rPr>
        <w:t>ne sélection au niveau national retiendra les EPCI éligibles (entre 20 et 30) qui seront invités à répondre aux deux appels à projet spécifiques :</w:t>
      </w:r>
    </w:p>
    <w:p w:rsidR="00E363B9" w:rsidRPr="00E8279C" w:rsidRDefault="00E363B9" w:rsidP="00471AFE">
      <w:pPr>
        <w:pStyle w:val="Standard"/>
        <w:spacing w:after="120"/>
        <w:jc w:val="both"/>
        <w:rPr>
          <w:rFonts w:ascii="Liberation Sans" w:hAnsi="Liberation Sans"/>
          <w:sz w:val="20"/>
          <w:szCs w:val="20"/>
        </w:rPr>
      </w:pPr>
      <w:r w:rsidRPr="00E8279C">
        <w:rPr>
          <w:rFonts w:ascii="Liberation Sans" w:hAnsi="Liberation Sans"/>
          <w:sz w:val="20"/>
          <w:szCs w:val="20"/>
        </w:rPr>
        <w:t>•</w:t>
      </w:r>
      <w:r w:rsidRPr="00E8279C">
        <w:rPr>
          <w:rFonts w:ascii="Liberation Sans" w:hAnsi="Liberation Sans"/>
          <w:sz w:val="20"/>
          <w:szCs w:val="20"/>
        </w:rPr>
        <w:tab/>
        <w:t xml:space="preserve">Subventions (35 M€) : cet appel est destiné à cofinancer des plans d’action concrets portés par les EPCI. De 5 à 10 territoires seront retenus parmi les éligibles. </w:t>
      </w:r>
    </w:p>
    <w:p w:rsidR="00E363B9" w:rsidRPr="00E8279C" w:rsidRDefault="00E363B9" w:rsidP="00471AFE">
      <w:pPr>
        <w:pStyle w:val="Standard"/>
        <w:spacing w:after="120"/>
        <w:jc w:val="both"/>
        <w:rPr>
          <w:rFonts w:ascii="Liberation Sans" w:hAnsi="Liberation Sans"/>
          <w:sz w:val="20"/>
          <w:szCs w:val="20"/>
        </w:rPr>
      </w:pPr>
      <w:r w:rsidRPr="00E8279C">
        <w:rPr>
          <w:rFonts w:ascii="Liberation Sans" w:hAnsi="Liberation Sans"/>
          <w:sz w:val="20"/>
          <w:szCs w:val="20"/>
        </w:rPr>
        <w:t>•</w:t>
      </w:r>
      <w:r w:rsidRPr="00E8279C">
        <w:rPr>
          <w:rFonts w:ascii="Liberation Sans" w:hAnsi="Liberation Sans"/>
          <w:sz w:val="20"/>
          <w:szCs w:val="20"/>
        </w:rPr>
        <w:tab/>
        <w:t>Prêts (40 M€) : cet appel vise les acteurs privés (plutôt PME) pour des projets se déployant sur l’ensemble des territoires éligibles.</w:t>
      </w:r>
    </w:p>
    <w:p w:rsidR="00E363B9" w:rsidRDefault="00E363B9">
      <w:pPr>
        <w:pStyle w:val="Standard"/>
        <w:shd w:val="clear" w:color="auto" w:fill="FFFFFF"/>
        <w:jc w:val="both"/>
      </w:pPr>
      <w:r>
        <w:rPr>
          <w:rFonts w:ascii="Liberation Sans" w:hAnsi="Liberation Sans"/>
          <w:b/>
          <w:sz w:val="20"/>
          <w:szCs w:val="20"/>
          <w:u w:val="single"/>
        </w:rPr>
        <w:t>Cible </w:t>
      </w:r>
      <w:r>
        <w:rPr>
          <w:rFonts w:ascii="Liberation Sans" w:hAnsi="Liberation Sans"/>
          <w:sz w:val="20"/>
          <w:szCs w:val="20"/>
          <w:u w:val="single"/>
        </w:rPr>
        <w:t>:</w:t>
      </w:r>
      <w:r>
        <w:rPr>
          <w:rFonts w:ascii="Liberation Sans" w:hAnsi="Liberation Sans"/>
          <w:sz w:val="20"/>
          <w:szCs w:val="20"/>
        </w:rPr>
        <w:t xml:space="preserve"> Les territoires identifiés lors de l’appel à initiatives « territoires à énergie positive pour la croissance verte » les plus susceptibles de s’inscrire dans cette action seront considérés comme éligibles au Financement du programme des investissements d’avenir (PIA). Les acteurs privés, porteurs de projets qui participent à l’atteinte des objectifs énergétiques et environnementaux des territoires éligibles au PIA, pourront également être retenus à l’issue d’un appel à projets du PIA.  </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 xml:space="preserve">Gestionnaire : </w:t>
      </w:r>
      <w:r>
        <w:rPr>
          <w:rFonts w:ascii="Liberation Sans" w:hAnsi="Liberation Sans"/>
          <w:b/>
          <w:sz w:val="20"/>
          <w:szCs w:val="20"/>
        </w:rPr>
        <w:t>Caisse des dépôts</w:t>
      </w:r>
    </w:p>
    <w:p w:rsidR="00E363B9" w:rsidRDefault="00E363B9">
      <w:pPr>
        <w:pStyle w:val="Standard"/>
        <w:jc w:val="both"/>
      </w:pPr>
    </w:p>
    <w:p w:rsidR="00E363B9" w:rsidRDefault="00E363B9">
      <w:pPr>
        <w:pStyle w:val="Standard"/>
        <w:jc w:val="both"/>
      </w:pPr>
    </w:p>
    <w:p w:rsidR="00E363B9" w:rsidRDefault="00E363B9">
      <w:pPr>
        <w:pStyle w:val="ListParagraph"/>
        <w:numPr>
          <w:ilvl w:val="2"/>
          <w:numId w:val="2"/>
        </w:numPr>
        <w:jc w:val="both"/>
      </w:pPr>
      <w:r>
        <w:rPr>
          <w:rFonts w:ascii="Liberation Sans" w:hAnsi="Liberation Sans"/>
          <w:b/>
          <w:sz w:val="20"/>
          <w:szCs w:val="20"/>
        </w:rPr>
        <w:t>Fonds « Ville durable et solidaire, excellence environnementale du renouvellement urbain »</w:t>
      </w:r>
    </w:p>
    <w:p w:rsidR="00E363B9" w:rsidRDefault="00E363B9">
      <w:pPr>
        <w:pStyle w:val="Standard"/>
        <w:spacing w:after="120"/>
        <w:jc w:val="both"/>
      </w:pPr>
      <w:r>
        <w:rPr>
          <w:rFonts w:ascii="Liberation Sans" w:hAnsi="Liberation Sans"/>
          <w:sz w:val="20"/>
          <w:szCs w:val="20"/>
        </w:rPr>
        <w:t>L’objectif de cet appel à projet est de démontrer et concrétiser l’excellence écologique et énergétique sur une quinzaine de projets de renouvellement urbain, afin de fixer de nouveaux standards puis de diffuser les bonnes pratiques, dans les quartiers de la politique de la ville.</w:t>
      </w:r>
    </w:p>
    <w:p w:rsidR="00E363B9" w:rsidRDefault="00E363B9">
      <w:pPr>
        <w:pStyle w:val="Standard"/>
        <w:spacing w:after="120"/>
        <w:jc w:val="both"/>
      </w:pPr>
      <w:r>
        <w:rPr>
          <w:rFonts w:ascii="Liberation Sans" w:hAnsi="Liberation Sans"/>
          <w:sz w:val="20"/>
          <w:szCs w:val="20"/>
        </w:rPr>
        <w:t>Dans le respect d'un objectif commun d'amélioration des conditions de vie des populations, bénéficiaires finales de ces projets, trois thèmes prioritaires sont ciblés :</w:t>
      </w:r>
    </w:p>
    <w:p w:rsidR="00E363B9" w:rsidRDefault="00E363B9">
      <w:pPr>
        <w:pStyle w:val="Standard"/>
        <w:numPr>
          <w:ilvl w:val="0"/>
          <w:numId w:val="3"/>
        </w:numPr>
        <w:spacing w:after="120"/>
        <w:jc w:val="both"/>
      </w:pPr>
      <w:r>
        <w:rPr>
          <w:rFonts w:ascii="Liberation Sans" w:hAnsi="Liberation Sans" w:cs="Liberation Sans"/>
          <w:sz w:val="20"/>
          <w:szCs w:val="20"/>
        </w:rPr>
        <w:t></w:t>
      </w:r>
      <w:r>
        <w:rPr>
          <w:rFonts w:ascii="Liberation Sans" w:hAnsi="Liberation Sans" w:cs="Liberation Sans"/>
          <w:sz w:val="20"/>
          <w:szCs w:val="20"/>
        </w:rPr>
        <w:tab/>
        <w:t xml:space="preserve">La performance des bâtiments </w:t>
      </w:r>
    </w:p>
    <w:p w:rsidR="00E363B9" w:rsidRDefault="00E363B9">
      <w:pPr>
        <w:pStyle w:val="Standard"/>
        <w:numPr>
          <w:ilvl w:val="0"/>
          <w:numId w:val="3"/>
        </w:numPr>
        <w:spacing w:after="120"/>
        <w:jc w:val="both"/>
      </w:pPr>
      <w:r>
        <w:rPr>
          <w:rFonts w:ascii="Liberation Sans" w:hAnsi="Liberation Sans" w:cs="Liberation Sans"/>
          <w:sz w:val="20"/>
          <w:szCs w:val="20"/>
        </w:rPr>
        <w:t></w:t>
      </w:r>
      <w:r>
        <w:rPr>
          <w:rFonts w:ascii="Liberation Sans" w:hAnsi="Liberation Sans" w:cs="Liberation Sans"/>
          <w:sz w:val="20"/>
          <w:szCs w:val="20"/>
        </w:rPr>
        <w:tab/>
        <w:t>L’approche énergétique et e</w:t>
      </w:r>
      <w:r>
        <w:rPr>
          <w:rFonts w:ascii="Liberation Sans" w:hAnsi="Liberation Sans"/>
          <w:sz w:val="20"/>
          <w:szCs w:val="20"/>
        </w:rPr>
        <w:t>nvironnementale à l’échelle du quartier dans une logique d’optimisation des consommations et d’économies d’énergie ;</w:t>
      </w:r>
    </w:p>
    <w:p w:rsidR="00E363B9" w:rsidRDefault="00E363B9">
      <w:pPr>
        <w:pStyle w:val="Standard"/>
        <w:numPr>
          <w:ilvl w:val="0"/>
          <w:numId w:val="3"/>
        </w:numPr>
        <w:spacing w:after="120"/>
        <w:jc w:val="both"/>
      </w:pPr>
      <w:r>
        <w:rPr>
          <w:rFonts w:ascii="Liberation Sans" w:hAnsi="Liberation Sans" w:cs="Liberation Sans"/>
          <w:sz w:val="20"/>
          <w:szCs w:val="20"/>
        </w:rPr>
        <w:t></w:t>
      </w:r>
      <w:r>
        <w:rPr>
          <w:rFonts w:ascii="Liberation Sans" w:hAnsi="Liberation Sans" w:cs="Liberation Sans"/>
          <w:sz w:val="20"/>
          <w:szCs w:val="20"/>
        </w:rPr>
        <w:tab/>
        <w:t>La mobilité</w:t>
      </w:r>
      <w:r>
        <w:rPr>
          <w:rFonts w:ascii="Liberation Sans" w:hAnsi="Liberation Sans"/>
          <w:sz w:val="20"/>
          <w:szCs w:val="20"/>
        </w:rPr>
        <w:t>.</w:t>
      </w:r>
    </w:p>
    <w:p w:rsidR="00E363B9" w:rsidRDefault="00E363B9">
      <w:pPr>
        <w:pStyle w:val="Standard"/>
        <w:spacing w:after="120"/>
        <w:jc w:val="both"/>
      </w:pPr>
      <w:r>
        <w:rPr>
          <w:rFonts w:ascii="Liberation Sans" w:hAnsi="Liberation Sans"/>
          <w:sz w:val="20"/>
          <w:szCs w:val="20"/>
        </w:rPr>
        <w:t>Afin de sélectionner les meilleurs projets répondant aux objectifs de l’action financée au titre du programme d’investissements d’avenir, l’Anru organisera plusieurs appels à manifestations d’intérêt avant procédures de sélection. Le premier appel à manifestation d’intérêt est prévu en avril 2015.</w:t>
      </w:r>
    </w:p>
    <w:p w:rsidR="00E363B9" w:rsidRDefault="00E363B9">
      <w:pPr>
        <w:pStyle w:val="Standard"/>
        <w:spacing w:after="120"/>
        <w:jc w:val="both"/>
      </w:pPr>
      <w:r>
        <w:rPr>
          <w:rFonts w:ascii="Liberation Sans" w:hAnsi="Liberation Sans"/>
          <w:b/>
          <w:sz w:val="20"/>
          <w:szCs w:val="20"/>
          <w:u w:val="single"/>
        </w:rPr>
        <w:t xml:space="preserve">Aide : </w:t>
      </w:r>
      <w:r>
        <w:rPr>
          <w:rFonts w:ascii="Liberation Sans" w:hAnsi="Liberation Sans"/>
          <w:sz w:val="20"/>
          <w:szCs w:val="20"/>
        </w:rPr>
        <w:t>Cet axe du fonds est doté de 71 M€ de subventions. Les crédits du PIA seront octroyés soit pour majorer les aides classiques de l’ANRU et couvrir ainsi le surcoût lié à l’innovation (exemple : construction et requalification de logements, aménagements et équipements publics,..) soit pour participer au financement d’objets (liés à la mobilité, par exemple) ou de démarches de formalisation, mise en œuvre et mise en réseau, capitalisation des innovations (ingénierie spécifique, monitoring,…) non pris en charge dans le cadre des autres programmes de l’Agence.</w:t>
      </w:r>
    </w:p>
    <w:p w:rsidR="00E363B9" w:rsidRDefault="00E363B9">
      <w:pPr>
        <w:pStyle w:val="Standard"/>
        <w:jc w:val="both"/>
      </w:pPr>
    </w:p>
    <w:p w:rsidR="00E363B9" w:rsidRDefault="00E363B9">
      <w:pPr>
        <w:pStyle w:val="Standard"/>
        <w:jc w:val="both"/>
      </w:pPr>
      <w:r>
        <w:rPr>
          <w:rFonts w:ascii="Liberation Sans" w:hAnsi="Liberation Sans"/>
          <w:b/>
          <w:sz w:val="20"/>
          <w:szCs w:val="20"/>
          <w:u w:val="single"/>
        </w:rPr>
        <w:t>Gestionnaire :</w:t>
      </w:r>
      <w:r>
        <w:rPr>
          <w:rFonts w:ascii="Liberation Sans" w:hAnsi="Liberation Sans"/>
          <w:b/>
          <w:sz w:val="20"/>
          <w:szCs w:val="20"/>
        </w:rPr>
        <w:t xml:space="preserve"> Agence nationale de rénovation urbaine </w:t>
      </w:r>
    </w:p>
    <w:p w:rsidR="00E363B9" w:rsidRDefault="00E363B9">
      <w:pPr>
        <w:pStyle w:val="Standard"/>
        <w:jc w:val="both"/>
      </w:pPr>
    </w:p>
    <w:p w:rsidR="00E363B9" w:rsidRDefault="00E363B9">
      <w:pPr>
        <w:pStyle w:val="ListParagraph"/>
        <w:ind w:left="0"/>
        <w:jc w:val="both"/>
      </w:pPr>
    </w:p>
    <w:p w:rsidR="00E363B9" w:rsidRDefault="00E363B9">
      <w:pPr>
        <w:pStyle w:val="ListParagraph"/>
        <w:numPr>
          <w:ilvl w:val="2"/>
          <w:numId w:val="2"/>
        </w:numPr>
        <w:jc w:val="both"/>
      </w:pPr>
      <w:r>
        <w:rPr>
          <w:rFonts w:ascii="Liberation Sans" w:hAnsi="Liberation Sans"/>
          <w:b/>
          <w:sz w:val="20"/>
          <w:szCs w:val="20"/>
        </w:rPr>
        <w:t>Appel à manifestation d’intérêt centre bourg</w:t>
      </w:r>
    </w:p>
    <w:p w:rsidR="00E363B9" w:rsidRDefault="00E363B9">
      <w:pPr>
        <w:pStyle w:val="Standard"/>
      </w:pPr>
    </w:p>
    <w:p w:rsidR="00E363B9" w:rsidRDefault="00E363B9">
      <w:pPr>
        <w:pStyle w:val="Standard"/>
        <w:spacing w:after="120"/>
        <w:jc w:val="both"/>
      </w:pPr>
      <w:r>
        <w:rPr>
          <w:rFonts w:ascii="Liberation Sans" w:hAnsi="Liberation Sans"/>
          <w:sz w:val="20"/>
          <w:szCs w:val="20"/>
        </w:rPr>
        <w:t>Le Gouvernement a décidé de lancer en juin 2014 un programme expérimental pour la revitalisation des centres-bourgs. Ce programme vise à dynamiser l’économie des bassins de vie ruraux et périurbains, en développant des activités productives et résidentielles, à améliorer le cadre de vie des populations, en offrant notamment des logements de qualité et un meilleur accès aux services de proximité et à accompagner la transition écologique des territoires et limiter l’artificialisation des sols liée à l’étalement urbain.</w:t>
      </w:r>
    </w:p>
    <w:p w:rsidR="00E363B9" w:rsidRDefault="00E363B9">
      <w:pPr>
        <w:pStyle w:val="Standard"/>
        <w:spacing w:after="120"/>
        <w:jc w:val="both"/>
      </w:pPr>
      <w:r>
        <w:rPr>
          <w:rFonts w:ascii="Liberation Sans" w:hAnsi="Liberation Sans"/>
          <w:sz w:val="20"/>
          <w:szCs w:val="20"/>
        </w:rPr>
        <w:t>Il s’adresse à des territoires intercommunaux (EPCI à fiscalité propre) dotés de bourgs de moins de 10 000 habitants exerçant des fonctions de centralité structurantes pour les bassins de vie ruraux et périurbains, , et qui nécessitent un effort de revitalisation.</w:t>
      </w:r>
    </w:p>
    <w:p w:rsidR="00E363B9" w:rsidRDefault="00E363B9">
      <w:pPr>
        <w:pStyle w:val="Standard"/>
        <w:spacing w:after="120"/>
        <w:jc w:val="both"/>
      </w:pPr>
      <w:r>
        <w:rPr>
          <w:rFonts w:ascii="Liberation Sans" w:hAnsi="Liberation Sans"/>
          <w:sz w:val="20"/>
          <w:szCs w:val="20"/>
        </w:rPr>
        <w:t>300 territoires repérés sous l’égide des Préfets de région ont été invités à candidater à l’appel à manifestation d’intérêt national (AMI) « centres-bourgs » piloté par le Commissariat général à l’égalité des territoires (CGET). 267 ont candidaté</w:t>
      </w:r>
      <w:r w:rsidRPr="00471AFE">
        <w:rPr>
          <w:rFonts w:ascii="Liberation Sans" w:hAnsi="Liberation Sans"/>
          <w:sz w:val="20"/>
          <w:szCs w:val="20"/>
        </w:rPr>
        <w:t xml:space="preserve"> </w:t>
      </w:r>
      <w:r>
        <w:rPr>
          <w:rFonts w:ascii="Liberation Sans" w:hAnsi="Liberation Sans"/>
          <w:sz w:val="20"/>
          <w:szCs w:val="20"/>
        </w:rPr>
        <w:t>avec des</w:t>
      </w:r>
      <w:r w:rsidRPr="00471AFE">
        <w:rPr>
          <w:rFonts w:ascii="Liberation Sans" w:hAnsi="Liberation Sans"/>
          <w:sz w:val="20"/>
          <w:szCs w:val="20"/>
        </w:rPr>
        <w:t xml:space="preserve"> projets transversaux qui visent à limiter l’étalement urbain, à redynamiser l’offre de commerces, à créer des équipements et des services adaptés aux besoins des habitants, à relancer les activités , ou encore à rénover ou réaliser des logements dans des communes rurales.</w:t>
      </w:r>
      <w:r>
        <w:rPr>
          <w:rFonts w:ascii="Liberation Sans" w:hAnsi="Liberation Sans"/>
          <w:sz w:val="20"/>
          <w:szCs w:val="20"/>
        </w:rPr>
        <w:t xml:space="preserve"> 54 lauréats ont été annoncés le 26 novembre 2014. </w:t>
      </w:r>
    </w:p>
    <w:p w:rsidR="00E363B9" w:rsidRDefault="00E363B9" w:rsidP="00471AFE">
      <w:pPr>
        <w:pStyle w:val="Standard"/>
        <w:spacing w:after="120"/>
        <w:jc w:val="both"/>
        <w:rPr>
          <w:rFonts w:ascii="Liberation Sans" w:hAnsi="Liberation Sans"/>
          <w:sz w:val="20"/>
          <w:szCs w:val="20"/>
        </w:rPr>
      </w:pPr>
      <w:r w:rsidRPr="00471AFE">
        <w:rPr>
          <w:rFonts w:ascii="Liberation Sans" w:hAnsi="Liberation Sans"/>
          <w:sz w:val="20"/>
          <w:szCs w:val="20"/>
        </w:rPr>
        <w:t xml:space="preserve">L’État assurera le suivi des projets afin d'évaluer cette expérimentation et de faire connaître les initiatives les plus porteuses, en vue de les développer dans d'autres communes. </w:t>
      </w:r>
      <w:r>
        <w:rPr>
          <w:rFonts w:ascii="Liberation Sans" w:hAnsi="Liberation Sans"/>
          <w:sz w:val="20"/>
          <w:szCs w:val="20"/>
        </w:rPr>
        <w:t>L</w:t>
      </w:r>
      <w:r w:rsidRPr="00471AFE">
        <w:rPr>
          <w:rFonts w:ascii="Liberation Sans" w:hAnsi="Liberation Sans"/>
          <w:sz w:val="20"/>
          <w:szCs w:val="20"/>
        </w:rPr>
        <w:t>’Etat accom pagne de manière spécifique les projets qui n’ont pas pu être retenus dans le cadre de cet appel à manifestation d'intérêt, notamment en mobilisant prioritairement les dispositifs de droit commun dont ils peuvent bénéficier.</w:t>
      </w:r>
    </w:p>
    <w:p w:rsidR="00E363B9" w:rsidRDefault="00E363B9" w:rsidP="00471AFE">
      <w:pPr>
        <w:pStyle w:val="Standard"/>
        <w:jc w:val="both"/>
      </w:pPr>
      <w:r>
        <w:rPr>
          <w:rFonts w:ascii="Liberation Sans" w:hAnsi="Liberation Sans"/>
          <w:b/>
          <w:sz w:val="20"/>
          <w:szCs w:val="20"/>
          <w:u w:val="single"/>
        </w:rPr>
        <w:t>Cible</w:t>
      </w:r>
      <w:r>
        <w:rPr>
          <w:rFonts w:ascii="Liberation Sans" w:hAnsi="Liberation Sans"/>
          <w:sz w:val="20"/>
          <w:szCs w:val="20"/>
        </w:rPr>
        <w:t> : collectivités</w:t>
      </w:r>
    </w:p>
    <w:p w:rsidR="00E363B9" w:rsidRDefault="00E363B9" w:rsidP="00471AFE">
      <w:pPr>
        <w:pStyle w:val="Standard"/>
        <w:jc w:val="both"/>
      </w:pPr>
    </w:p>
    <w:p w:rsidR="00E363B9" w:rsidRPr="002A55CC" w:rsidRDefault="00E363B9" w:rsidP="00471AFE">
      <w:pPr>
        <w:pStyle w:val="Standard"/>
        <w:jc w:val="both"/>
        <w:rPr>
          <w:rFonts w:ascii="Liberation Sans" w:hAnsi="Liberation Sans"/>
          <w:sz w:val="20"/>
          <w:szCs w:val="20"/>
        </w:rPr>
      </w:pPr>
      <w:r>
        <w:rPr>
          <w:rFonts w:ascii="Liberation Sans" w:hAnsi="Liberation Sans"/>
          <w:b/>
          <w:sz w:val="20"/>
          <w:szCs w:val="20"/>
          <w:u w:val="single"/>
        </w:rPr>
        <w:t>Aide :</w:t>
      </w:r>
      <w:r>
        <w:rPr>
          <w:rFonts w:ascii="Liberation Sans" w:hAnsi="Liberation Sans"/>
          <w:sz w:val="20"/>
          <w:szCs w:val="20"/>
        </w:rPr>
        <w:t xml:space="preserve"> </w:t>
      </w:r>
      <w:r w:rsidRPr="002A55CC">
        <w:rPr>
          <w:rFonts w:ascii="Liberation Sans" w:hAnsi="Liberation Sans"/>
          <w:sz w:val="20"/>
          <w:szCs w:val="20"/>
        </w:rPr>
        <w:t xml:space="preserve">40 millions d’euros en moyenne par an dès 2014, via le Fonds National d’Aménagement Du Territoire (FNADT), </w:t>
      </w:r>
      <w:r>
        <w:rPr>
          <w:rFonts w:ascii="Liberation Sans" w:hAnsi="Liberation Sans"/>
          <w:sz w:val="20"/>
          <w:szCs w:val="20"/>
        </w:rPr>
        <w:t>les aides à la pierre et l’ANAH.</w:t>
      </w:r>
    </w:p>
    <w:p w:rsidR="00E363B9" w:rsidRDefault="00E363B9" w:rsidP="00471AFE">
      <w:pPr>
        <w:pStyle w:val="Standard"/>
        <w:jc w:val="both"/>
      </w:pPr>
    </w:p>
    <w:p w:rsidR="00E363B9" w:rsidRDefault="00E363B9" w:rsidP="00471AFE">
      <w:pPr>
        <w:pStyle w:val="Standard"/>
        <w:jc w:val="both"/>
        <w:rPr>
          <w:rFonts w:ascii="Liberation Sans" w:hAnsi="Liberation Sans"/>
          <w:b/>
          <w:sz w:val="20"/>
          <w:szCs w:val="20"/>
        </w:rPr>
      </w:pPr>
      <w:r>
        <w:rPr>
          <w:rFonts w:ascii="Liberation Sans" w:hAnsi="Liberation Sans"/>
          <w:b/>
          <w:sz w:val="20"/>
          <w:szCs w:val="20"/>
          <w:u w:val="single"/>
        </w:rPr>
        <w:t xml:space="preserve">Gestionnaire : </w:t>
      </w:r>
      <w:r>
        <w:rPr>
          <w:rFonts w:ascii="Liberation Sans" w:hAnsi="Liberation Sans"/>
          <w:b/>
          <w:sz w:val="20"/>
          <w:szCs w:val="20"/>
        </w:rPr>
        <w:t>Anah et CGET</w:t>
      </w:r>
    </w:p>
    <w:p w:rsidR="00E363B9" w:rsidRDefault="00E363B9" w:rsidP="00471AFE">
      <w:pPr>
        <w:pStyle w:val="Standard"/>
        <w:jc w:val="both"/>
        <w:rPr>
          <w:rFonts w:ascii="Liberation Sans" w:hAnsi="Liberation Sans"/>
          <w:b/>
          <w:sz w:val="20"/>
          <w:szCs w:val="20"/>
        </w:rPr>
      </w:pPr>
    </w:p>
    <w:p w:rsidR="00E363B9" w:rsidRDefault="00E363B9" w:rsidP="00E46B96">
      <w:pPr>
        <w:pStyle w:val="ListParagraph"/>
        <w:numPr>
          <w:ilvl w:val="2"/>
          <w:numId w:val="2"/>
        </w:numPr>
        <w:jc w:val="both"/>
      </w:pPr>
      <w:r>
        <w:rPr>
          <w:rFonts w:ascii="Liberation Sans" w:hAnsi="Liberation Sans"/>
          <w:b/>
          <w:sz w:val="20"/>
          <w:szCs w:val="20"/>
        </w:rPr>
        <w:t xml:space="preserve">Les aides à la décision </w:t>
      </w:r>
    </w:p>
    <w:p w:rsidR="00E363B9" w:rsidRDefault="00E363B9" w:rsidP="00E46B96">
      <w:pPr>
        <w:pStyle w:val="Standard"/>
        <w:jc w:val="both"/>
      </w:pPr>
      <w:r>
        <w:rPr>
          <w:rFonts w:ascii="Liberation Sans" w:hAnsi="Liberation Sans"/>
          <w:sz w:val="20"/>
          <w:szCs w:val="20"/>
        </w:rPr>
        <w:t>Aide aux études et aux diagnostics de projet sur l’efficacité énergétique, les énergies renouvelables, les déchets, les transports, les PCET…</w:t>
      </w:r>
    </w:p>
    <w:p w:rsidR="00E363B9" w:rsidRDefault="00E363B9" w:rsidP="00E46B96">
      <w:pPr>
        <w:pStyle w:val="Standard"/>
        <w:jc w:val="both"/>
      </w:pPr>
    </w:p>
    <w:p w:rsidR="00E363B9" w:rsidRDefault="00E363B9" w:rsidP="00E46B96">
      <w:pPr>
        <w:pStyle w:val="Standard"/>
        <w:jc w:val="both"/>
      </w:pPr>
      <w:r>
        <w:rPr>
          <w:rFonts w:ascii="Liberation Sans" w:hAnsi="Liberation Sans"/>
          <w:b/>
          <w:sz w:val="20"/>
          <w:szCs w:val="20"/>
          <w:u w:val="single"/>
        </w:rPr>
        <w:t>Cible</w:t>
      </w:r>
      <w:r>
        <w:rPr>
          <w:rFonts w:ascii="Liberation Sans" w:hAnsi="Liberation Sans"/>
          <w:sz w:val="20"/>
          <w:szCs w:val="20"/>
        </w:rPr>
        <w:t> : collectivités</w:t>
      </w:r>
    </w:p>
    <w:p w:rsidR="00E363B9" w:rsidRDefault="00E363B9" w:rsidP="00E46B96">
      <w:pPr>
        <w:pStyle w:val="Standard"/>
        <w:jc w:val="both"/>
      </w:pPr>
    </w:p>
    <w:p w:rsidR="00E363B9" w:rsidRDefault="00E363B9" w:rsidP="00E46B96">
      <w:pPr>
        <w:pStyle w:val="Standard"/>
        <w:jc w:val="both"/>
      </w:pPr>
      <w:r>
        <w:rPr>
          <w:rFonts w:ascii="Liberation Sans" w:hAnsi="Liberation Sans"/>
          <w:b/>
          <w:sz w:val="20"/>
          <w:szCs w:val="20"/>
          <w:u w:val="single"/>
        </w:rPr>
        <w:t>Aide :</w:t>
      </w:r>
      <w:r>
        <w:rPr>
          <w:rFonts w:ascii="Liberation Sans" w:hAnsi="Liberation Sans"/>
          <w:sz w:val="20"/>
          <w:szCs w:val="20"/>
        </w:rPr>
        <w:t xml:space="preserve"> 70% du coût de l’étude dans la limite de 50 000€ dans le champ énergie climat et transport et de 100 000€ dans le champ de l’urbanisme.</w:t>
      </w:r>
    </w:p>
    <w:p w:rsidR="00E363B9" w:rsidRDefault="00E363B9" w:rsidP="00E46B96">
      <w:pPr>
        <w:pStyle w:val="Standard"/>
        <w:jc w:val="both"/>
      </w:pPr>
    </w:p>
    <w:p w:rsidR="00E363B9" w:rsidRDefault="00E363B9" w:rsidP="00E46B96">
      <w:pPr>
        <w:pStyle w:val="Standard"/>
        <w:jc w:val="both"/>
      </w:pPr>
      <w:r>
        <w:rPr>
          <w:rFonts w:ascii="Liberation Sans" w:hAnsi="Liberation Sans"/>
          <w:b/>
          <w:sz w:val="20"/>
          <w:szCs w:val="20"/>
          <w:u w:val="single"/>
        </w:rPr>
        <w:t xml:space="preserve">Gestionnaire : </w:t>
      </w:r>
      <w:r>
        <w:rPr>
          <w:rFonts w:ascii="Liberation Sans" w:hAnsi="Liberation Sans"/>
          <w:b/>
          <w:sz w:val="20"/>
          <w:szCs w:val="20"/>
        </w:rPr>
        <w:t>Ademe</w:t>
      </w:r>
    </w:p>
    <w:p w:rsidR="00E363B9" w:rsidRDefault="00E363B9" w:rsidP="00471AFE">
      <w:pPr>
        <w:pStyle w:val="Standard"/>
        <w:jc w:val="both"/>
      </w:pPr>
    </w:p>
    <w:p w:rsidR="00E363B9" w:rsidRDefault="00E363B9" w:rsidP="00471AFE">
      <w:pPr>
        <w:pStyle w:val="Standard"/>
        <w:jc w:val="both"/>
      </w:pPr>
    </w:p>
    <w:p w:rsidR="00E363B9" w:rsidRPr="00F92DEE" w:rsidRDefault="00E363B9" w:rsidP="00C51B03">
      <w:pPr>
        <w:pStyle w:val="ListParagraph"/>
        <w:numPr>
          <w:ilvl w:val="1"/>
          <w:numId w:val="2"/>
        </w:numPr>
        <w:shd w:val="clear" w:color="auto" w:fill="D9D9D9"/>
        <w:jc w:val="both"/>
        <w:rPr>
          <w:rFonts w:ascii="Liberation Sans" w:hAnsi="Liberation Sans"/>
          <w:b/>
          <w:sz w:val="20"/>
          <w:szCs w:val="20"/>
        </w:rPr>
      </w:pPr>
      <w:r w:rsidRPr="00F92DEE">
        <w:rPr>
          <w:rFonts w:ascii="Liberation Sans" w:hAnsi="Liberation Sans"/>
          <w:b/>
          <w:sz w:val="20"/>
          <w:szCs w:val="20"/>
        </w:rPr>
        <w:t>A</w:t>
      </w:r>
      <w:r>
        <w:rPr>
          <w:rFonts w:ascii="Liberation Sans" w:hAnsi="Liberation Sans"/>
          <w:b/>
          <w:sz w:val="20"/>
          <w:szCs w:val="20"/>
        </w:rPr>
        <w:t>ides</w:t>
      </w:r>
      <w:r w:rsidRPr="00F92DEE">
        <w:rPr>
          <w:rFonts w:ascii="Liberation Sans" w:hAnsi="Liberation Sans"/>
          <w:b/>
          <w:sz w:val="20"/>
          <w:szCs w:val="20"/>
        </w:rPr>
        <w:t xml:space="preserve"> visant à favoriser la prise en compte de la </w:t>
      </w:r>
      <w:r>
        <w:rPr>
          <w:rFonts w:ascii="Liberation Sans" w:hAnsi="Liberation Sans"/>
          <w:b/>
          <w:sz w:val="20"/>
          <w:szCs w:val="20"/>
        </w:rPr>
        <w:t xml:space="preserve"> transition écologique et énergétique </w:t>
      </w:r>
      <w:r w:rsidRPr="00F92DEE">
        <w:rPr>
          <w:rFonts w:ascii="Liberation Sans" w:hAnsi="Liberation Sans"/>
          <w:b/>
          <w:sz w:val="20"/>
          <w:szCs w:val="20"/>
        </w:rPr>
        <w:t xml:space="preserve">par les entreprises </w:t>
      </w:r>
    </w:p>
    <w:p w:rsidR="00E363B9" w:rsidRPr="00F92DEE" w:rsidRDefault="00E363B9" w:rsidP="00C51B03">
      <w:pPr>
        <w:pStyle w:val="Standard"/>
        <w:spacing w:after="120"/>
        <w:jc w:val="both"/>
        <w:rPr>
          <w:rFonts w:ascii="Liberation Sans" w:hAnsi="Liberation Sans"/>
          <w:sz w:val="20"/>
          <w:szCs w:val="20"/>
        </w:rPr>
      </w:pPr>
    </w:p>
    <w:p w:rsidR="00E363B9" w:rsidRPr="00F92DEE" w:rsidRDefault="00E363B9" w:rsidP="00C51B03">
      <w:pPr>
        <w:pStyle w:val="ListParagraph"/>
        <w:numPr>
          <w:ilvl w:val="2"/>
          <w:numId w:val="2"/>
        </w:numPr>
        <w:jc w:val="both"/>
        <w:rPr>
          <w:rFonts w:ascii="Liberation Sans" w:hAnsi="Liberation Sans"/>
          <w:b/>
          <w:sz w:val="20"/>
          <w:szCs w:val="20"/>
        </w:rPr>
      </w:pPr>
      <w:r w:rsidRPr="00F92DEE">
        <w:rPr>
          <w:rFonts w:ascii="Liberation Sans" w:hAnsi="Liberation Sans"/>
          <w:b/>
          <w:sz w:val="20"/>
          <w:szCs w:val="20"/>
        </w:rPr>
        <w:t>Prêts Verts bonifiés (usine sobre)</w:t>
      </w:r>
    </w:p>
    <w:p w:rsidR="00E363B9" w:rsidRPr="00F92DEE" w:rsidRDefault="00E363B9" w:rsidP="00C51B03">
      <w:pPr>
        <w:pStyle w:val="Standard"/>
        <w:spacing w:after="120"/>
        <w:jc w:val="both"/>
        <w:rPr>
          <w:rFonts w:ascii="Liberation Sans" w:hAnsi="Liberation Sans"/>
          <w:sz w:val="20"/>
          <w:szCs w:val="20"/>
        </w:rPr>
      </w:pPr>
      <w:r w:rsidRPr="00F92DEE">
        <w:rPr>
          <w:rFonts w:ascii="Liberation Sans" w:hAnsi="Liberation Sans"/>
          <w:sz w:val="20"/>
          <w:szCs w:val="20"/>
        </w:rPr>
        <w:t xml:space="preserve">Les prêts verts « usine sobre » sont destinés à : </w:t>
      </w:r>
    </w:p>
    <w:p w:rsidR="00E363B9" w:rsidRPr="00F92DEE" w:rsidRDefault="00E363B9" w:rsidP="00C51B03">
      <w:pPr>
        <w:pStyle w:val="Standard"/>
        <w:spacing w:after="120"/>
        <w:jc w:val="both"/>
        <w:rPr>
          <w:rFonts w:ascii="Liberation Sans" w:hAnsi="Liberation Sans"/>
          <w:sz w:val="20"/>
          <w:szCs w:val="20"/>
        </w:rPr>
      </w:pPr>
      <w:r w:rsidRPr="00F92DEE">
        <w:rPr>
          <w:rFonts w:ascii="Liberation Sans" w:hAnsi="Liberation Sans"/>
          <w:sz w:val="20"/>
          <w:szCs w:val="20"/>
        </w:rPr>
        <w:t>-</w:t>
      </w:r>
      <w:r w:rsidRPr="00F92DEE">
        <w:rPr>
          <w:rFonts w:ascii="Liberation Sans" w:hAnsi="Liberation Sans"/>
          <w:sz w:val="20"/>
          <w:szCs w:val="20"/>
        </w:rPr>
        <w:tab/>
        <w:t xml:space="preserve">financer des investissements compétitifs répondant à un objectif de prise en compte des enjeux de protection de l’environnement </w:t>
      </w:r>
    </w:p>
    <w:p w:rsidR="00E363B9" w:rsidRPr="00F92DEE" w:rsidRDefault="00E363B9" w:rsidP="00C51B03">
      <w:pPr>
        <w:pStyle w:val="Standard"/>
        <w:spacing w:after="120"/>
        <w:jc w:val="both"/>
        <w:rPr>
          <w:rFonts w:ascii="Liberation Sans" w:hAnsi="Liberation Sans"/>
          <w:sz w:val="20"/>
          <w:szCs w:val="20"/>
        </w:rPr>
      </w:pPr>
      <w:r w:rsidRPr="00F92DEE">
        <w:rPr>
          <w:rFonts w:ascii="Liberation Sans" w:hAnsi="Liberation Sans"/>
          <w:sz w:val="20"/>
          <w:szCs w:val="20"/>
        </w:rPr>
        <w:t>-</w:t>
      </w:r>
      <w:r w:rsidRPr="00F92DEE">
        <w:rPr>
          <w:rFonts w:ascii="Liberation Sans" w:hAnsi="Liberation Sans"/>
          <w:sz w:val="20"/>
          <w:szCs w:val="20"/>
        </w:rPr>
        <w:tab/>
        <w:t>favoriser la mise sur le marché de produits concernant la protection de l’environnement et la réduction de la consommation d’énergie. Le programme doit comporter des investissements corpo</w:t>
      </w:r>
      <w:r>
        <w:rPr>
          <w:rFonts w:ascii="Liberation Sans" w:hAnsi="Liberation Sans"/>
          <w:sz w:val="20"/>
          <w:szCs w:val="20"/>
        </w:rPr>
        <w:t>rels représentant au minimum 60 </w:t>
      </w:r>
      <w:r w:rsidRPr="00F92DEE">
        <w:rPr>
          <w:rFonts w:ascii="Liberation Sans" w:hAnsi="Liberation Sans"/>
          <w:sz w:val="20"/>
          <w:szCs w:val="20"/>
        </w:rPr>
        <w:t xml:space="preserve">% du montant du programme global. </w:t>
      </w:r>
    </w:p>
    <w:p w:rsidR="00E363B9" w:rsidRPr="00F92DEE" w:rsidRDefault="00E363B9" w:rsidP="00C51B03">
      <w:pPr>
        <w:pStyle w:val="Standard"/>
        <w:spacing w:after="120"/>
        <w:jc w:val="both"/>
        <w:rPr>
          <w:rFonts w:ascii="Liberation Sans" w:hAnsi="Liberation Sans"/>
          <w:sz w:val="20"/>
          <w:szCs w:val="20"/>
        </w:rPr>
      </w:pPr>
      <w:r w:rsidRPr="00F92DEE">
        <w:rPr>
          <w:rFonts w:ascii="Liberation Sans" w:hAnsi="Liberation Sans"/>
          <w:sz w:val="20"/>
          <w:szCs w:val="20"/>
        </w:rPr>
        <w:t>Le dispositif vise à accompagner les PME et</w:t>
      </w:r>
      <w:r w:rsidRPr="00E46B96">
        <w:t xml:space="preserve"> </w:t>
      </w:r>
      <w:r w:rsidRPr="00E46B96">
        <w:rPr>
          <w:rFonts w:ascii="Liberation Sans" w:hAnsi="Liberation Sans"/>
          <w:sz w:val="20"/>
          <w:szCs w:val="20"/>
        </w:rPr>
        <w:t>Entreprise de taille intermédiaire</w:t>
      </w:r>
      <w:r>
        <w:rPr>
          <w:rFonts w:ascii="Liberation Sans" w:hAnsi="Liberation Sans"/>
          <w:sz w:val="20"/>
          <w:szCs w:val="20"/>
        </w:rPr>
        <w:t xml:space="preserve"> </w:t>
      </w:r>
      <w:r w:rsidRPr="00F92DEE">
        <w:rPr>
          <w:rFonts w:ascii="Liberation Sans" w:hAnsi="Liberation Sans"/>
          <w:sz w:val="20"/>
          <w:szCs w:val="20"/>
        </w:rPr>
        <w:t>indépendantes dans leur développement en leur apportant un complément de financement leur permettant d’accroître leur compétitivité par une augmentation de leur création de valeur (augmentation du chiffre d’affaires ou diminution des coûts) par la mise en œuvre de projets d’amélioration de leur situation environnementale ou le développement de produits répondant aux attentes des consommateurs en matière de protection de l’environnement.</w:t>
      </w:r>
    </w:p>
    <w:p w:rsidR="00E363B9" w:rsidRPr="00F92DEE" w:rsidRDefault="00E363B9" w:rsidP="00C51B03">
      <w:pPr>
        <w:pStyle w:val="Standard"/>
        <w:spacing w:after="120"/>
        <w:jc w:val="both"/>
        <w:rPr>
          <w:rFonts w:ascii="Liberation Sans" w:hAnsi="Liberation Sans"/>
          <w:sz w:val="20"/>
          <w:szCs w:val="20"/>
        </w:rPr>
      </w:pPr>
      <w:r w:rsidRPr="00F92DEE">
        <w:rPr>
          <w:rFonts w:ascii="Liberation Sans" w:hAnsi="Liberation Sans"/>
          <w:sz w:val="20"/>
          <w:szCs w:val="20"/>
        </w:rPr>
        <w:t xml:space="preserve">Il est à noter que les frais d’études spécifiques (exemple : diagnostics ou analyses d’impacts environnementaux et énergétiques, à l’exception de ceux d’application obligatoire) ou le coût des démarches d’éco-conception font partie de l’assiette des investissements éligibles aux prêts verts. </w:t>
      </w:r>
    </w:p>
    <w:p w:rsidR="00E363B9" w:rsidRPr="00F92DEE" w:rsidRDefault="00E363B9" w:rsidP="00C51B03">
      <w:pPr>
        <w:pStyle w:val="Standard"/>
        <w:spacing w:after="120"/>
        <w:jc w:val="both"/>
        <w:rPr>
          <w:rFonts w:ascii="Liberation Sans" w:hAnsi="Liberation Sans"/>
          <w:sz w:val="20"/>
          <w:szCs w:val="20"/>
        </w:rPr>
      </w:pPr>
    </w:p>
    <w:p w:rsidR="00E363B9" w:rsidRPr="00F92DEE" w:rsidRDefault="00E363B9" w:rsidP="00C51B03">
      <w:pPr>
        <w:pStyle w:val="Standard"/>
        <w:spacing w:after="120"/>
        <w:jc w:val="both"/>
        <w:rPr>
          <w:rFonts w:ascii="Liberation Sans" w:hAnsi="Liberation Sans"/>
          <w:sz w:val="20"/>
          <w:szCs w:val="20"/>
        </w:rPr>
      </w:pPr>
      <w:r w:rsidRPr="00E46B96">
        <w:rPr>
          <w:rFonts w:ascii="Liberation Sans" w:hAnsi="Liberation Sans"/>
          <w:b/>
          <w:sz w:val="20"/>
          <w:szCs w:val="20"/>
        </w:rPr>
        <w:t>Cible :</w:t>
      </w:r>
      <w:r w:rsidRPr="00F92DEE">
        <w:rPr>
          <w:rFonts w:ascii="Liberation Sans" w:hAnsi="Liberation Sans"/>
          <w:sz w:val="20"/>
          <w:szCs w:val="20"/>
        </w:rPr>
        <w:t xml:space="preserve"> Entreprises indépendantes de plus de 3 ans et de moins de 5000 salariés.</w:t>
      </w:r>
    </w:p>
    <w:p w:rsidR="00E363B9" w:rsidRPr="00F92DEE" w:rsidRDefault="00E363B9" w:rsidP="00C51B03">
      <w:pPr>
        <w:pStyle w:val="Standard"/>
        <w:spacing w:after="120"/>
        <w:jc w:val="both"/>
        <w:rPr>
          <w:rFonts w:ascii="Liberation Sans" w:hAnsi="Liberation Sans"/>
          <w:sz w:val="20"/>
          <w:szCs w:val="20"/>
        </w:rPr>
      </w:pPr>
      <w:r w:rsidRPr="00E46B96">
        <w:rPr>
          <w:rFonts w:ascii="Liberation Sans" w:hAnsi="Liberation Sans"/>
          <w:b/>
          <w:sz w:val="20"/>
          <w:szCs w:val="20"/>
        </w:rPr>
        <w:t>Aide :</w:t>
      </w:r>
      <w:r w:rsidRPr="00F92DEE">
        <w:rPr>
          <w:rFonts w:ascii="Liberation Sans" w:hAnsi="Liberation Sans"/>
          <w:sz w:val="20"/>
          <w:szCs w:val="20"/>
        </w:rPr>
        <w:t xml:space="preserve"> Aucune garantie n’est exigée. L’aide est remboursable sur 7 ans maximum avec un différé d’amortissement du capital de 24 mois maximum. Le taux est bonifié et peut être fixe ou variable. </w:t>
      </w:r>
    </w:p>
    <w:p w:rsidR="00E363B9" w:rsidRPr="00F92DEE" w:rsidRDefault="00E363B9" w:rsidP="00C51B03">
      <w:pPr>
        <w:pStyle w:val="Standard"/>
        <w:spacing w:after="120"/>
        <w:jc w:val="both"/>
        <w:rPr>
          <w:rFonts w:ascii="Liberation Sans" w:hAnsi="Liberation Sans"/>
          <w:sz w:val="20"/>
          <w:szCs w:val="20"/>
        </w:rPr>
      </w:pPr>
      <w:r w:rsidRPr="00E46B96">
        <w:rPr>
          <w:rFonts w:ascii="Liberation Sans" w:hAnsi="Liberation Sans"/>
          <w:b/>
          <w:sz w:val="20"/>
          <w:szCs w:val="20"/>
        </w:rPr>
        <w:t>Montant des prêts verts :</w:t>
      </w:r>
      <w:r>
        <w:rPr>
          <w:rFonts w:ascii="Liberation Sans" w:hAnsi="Liberation Sans"/>
          <w:b/>
          <w:sz w:val="20"/>
          <w:szCs w:val="20"/>
        </w:rPr>
        <w:t xml:space="preserve"> </w:t>
      </w:r>
      <w:r w:rsidRPr="00F92DEE">
        <w:rPr>
          <w:rFonts w:ascii="Liberation Sans" w:hAnsi="Liberation Sans"/>
          <w:sz w:val="20"/>
          <w:szCs w:val="20"/>
        </w:rPr>
        <w:t>Minimum : 100 000 €</w:t>
      </w:r>
      <w:r>
        <w:rPr>
          <w:rFonts w:ascii="Liberation Sans" w:hAnsi="Liberation Sans"/>
          <w:sz w:val="20"/>
          <w:szCs w:val="20"/>
        </w:rPr>
        <w:t xml:space="preserve"> ; </w:t>
      </w:r>
      <w:r w:rsidRPr="00F92DEE">
        <w:rPr>
          <w:rFonts w:ascii="Liberation Sans" w:hAnsi="Liberation Sans"/>
          <w:sz w:val="20"/>
          <w:szCs w:val="20"/>
        </w:rPr>
        <w:t>Maximum : 3 000 000 €</w:t>
      </w:r>
      <w:r>
        <w:rPr>
          <w:rFonts w:ascii="Liberation Sans" w:hAnsi="Liberation Sans"/>
          <w:sz w:val="20"/>
          <w:szCs w:val="20"/>
        </w:rPr>
        <w:t xml:space="preserve"> ; </w:t>
      </w:r>
      <w:r w:rsidRPr="00F92DEE">
        <w:rPr>
          <w:rFonts w:ascii="Liberation Sans" w:hAnsi="Liberation Sans"/>
          <w:sz w:val="20"/>
          <w:szCs w:val="20"/>
        </w:rPr>
        <w:t>Encours : maximum par groupe bénéficiaire au titre du prêt vert : 3 000 000 €</w:t>
      </w:r>
    </w:p>
    <w:p w:rsidR="00E363B9" w:rsidRPr="00F92DEE" w:rsidRDefault="00E363B9" w:rsidP="00C51B03">
      <w:pPr>
        <w:pStyle w:val="Standard"/>
        <w:spacing w:after="120"/>
        <w:jc w:val="both"/>
        <w:rPr>
          <w:rFonts w:ascii="Liberation Sans" w:hAnsi="Liberation Sans"/>
          <w:sz w:val="20"/>
          <w:szCs w:val="20"/>
        </w:rPr>
      </w:pPr>
      <w:r w:rsidRPr="00E46B96">
        <w:rPr>
          <w:rFonts w:ascii="Liberation Sans" w:hAnsi="Liberation Sans"/>
          <w:b/>
          <w:sz w:val="20"/>
          <w:szCs w:val="20"/>
        </w:rPr>
        <w:t>Co-financement par des établissements bancaires</w:t>
      </w:r>
      <w:r w:rsidRPr="00F92DEE">
        <w:rPr>
          <w:rFonts w:ascii="Liberation Sans" w:hAnsi="Liberation Sans"/>
          <w:sz w:val="20"/>
          <w:szCs w:val="20"/>
        </w:rPr>
        <w:t xml:space="preserve"> : le prêt vert est destiné à accompagner d’autres sources de financement privés, notamment de financements effectués par les banques (prêts participatifs, crédit ou crédit bail notamment) dans la règle de 1 pour 1 minimum.</w:t>
      </w:r>
    </w:p>
    <w:p w:rsidR="00E363B9" w:rsidRPr="00F92DEE" w:rsidRDefault="00E363B9" w:rsidP="00C51B03">
      <w:pPr>
        <w:pStyle w:val="Standard"/>
        <w:spacing w:after="120"/>
        <w:jc w:val="both"/>
        <w:rPr>
          <w:rFonts w:ascii="Liberation Sans" w:hAnsi="Liberation Sans"/>
          <w:sz w:val="20"/>
          <w:szCs w:val="20"/>
        </w:rPr>
      </w:pPr>
      <w:r w:rsidRPr="00E46B96">
        <w:rPr>
          <w:rFonts w:ascii="Liberation Sans" w:hAnsi="Liberation Sans"/>
          <w:b/>
          <w:sz w:val="20"/>
          <w:szCs w:val="20"/>
        </w:rPr>
        <w:t>Gestionnaire :</w:t>
      </w:r>
      <w:r w:rsidRPr="00F92DEE">
        <w:rPr>
          <w:rFonts w:ascii="Liberation Sans" w:hAnsi="Liberation Sans"/>
          <w:sz w:val="20"/>
          <w:szCs w:val="20"/>
        </w:rPr>
        <w:t xml:space="preserve"> Bpifrance Financement</w:t>
      </w:r>
    </w:p>
    <w:p w:rsidR="00E363B9" w:rsidRPr="00F92DEE" w:rsidRDefault="00E363B9" w:rsidP="00C51B03">
      <w:pPr>
        <w:pStyle w:val="Standard"/>
        <w:spacing w:after="120"/>
        <w:jc w:val="both"/>
        <w:rPr>
          <w:rFonts w:ascii="Liberation Sans" w:hAnsi="Liberation Sans"/>
          <w:sz w:val="20"/>
          <w:szCs w:val="20"/>
        </w:rPr>
      </w:pPr>
    </w:p>
    <w:p w:rsidR="00E363B9" w:rsidRPr="00F92DEE" w:rsidRDefault="00E363B9" w:rsidP="00C51B03">
      <w:pPr>
        <w:pStyle w:val="Standard"/>
        <w:spacing w:after="120"/>
        <w:jc w:val="both"/>
        <w:rPr>
          <w:rFonts w:ascii="Liberation Sans" w:hAnsi="Liberation Sans"/>
          <w:sz w:val="20"/>
          <w:szCs w:val="20"/>
        </w:rPr>
      </w:pPr>
    </w:p>
    <w:p w:rsidR="00E363B9" w:rsidRPr="001A2E81" w:rsidRDefault="00E363B9" w:rsidP="00C51B03">
      <w:pPr>
        <w:pStyle w:val="ListParagraph"/>
        <w:numPr>
          <w:ilvl w:val="2"/>
          <w:numId w:val="2"/>
        </w:numPr>
        <w:jc w:val="both"/>
        <w:rPr>
          <w:rFonts w:ascii="Liberation Sans" w:hAnsi="Liberation Sans"/>
          <w:b/>
          <w:sz w:val="20"/>
          <w:szCs w:val="20"/>
        </w:rPr>
      </w:pPr>
      <w:r w:rsidRPr="001A2E81">
        <w:rPr>
          <w:rFonts w:ascii="Liberation Sans" w:hAnsi="Liberation Sans"/>
          <w:b/>
          <w:sz w:val="20"/>
          <w:szCs w:val="20"/>
        </w:rPr>
        <w:t>Projets Industriels d’Avenir (PIAVE)</w:t>
      </w:r>
    </w:p>
    <w:p w:rsidR="00E363B9" w:rsidRPr="00F92DEE" w:rsidRDefault="00E363B9" w:rsidP="00C51B03">
      <w:pPr>
        <w:pStyle w:val="Standard"/>
        <w:spacing w:after="120"/>
        <w:jc w:val="both"/>
        <w:rPr>
          <w:rFonts w:ascii="Liberation Sans" w:hAnsi="Liberation Sans"/>
          <w:sz w:val="20"/>
          <w:szCs w:val="20"/>
        </w:rPr>
      </w:pPr>
      <w:r w:rsidRPr="00F92DEE">
        <w:rPr>
          <w:rFonts w:ascii="Liberation Sans" w:hAnsi="Liberation Sans"/>
          <w:sz w:val="20"/>
          <w:szCs w:val="20"/>
        </w:rPr>
        <w:t xml:space="preserve">Cette action vise à permettre aux projets industriels les plus porteurs de perspectives d’activité et d’emploi pour les filières industrielles françaises, ainsi que les projets qui œuvrent directement en faveur de la transition écologique et énergétique, de trouver un appui à leur développement. Elle s’adresse spécifiquement aux projets qui s’inscrivent dans la démarche des 34 plans de la Nouvelle France industrielle et qui ne bénéficient pas de soutiens dédiés par le biais d’appels à projets thématiques du programme des investissements d’avenir. </w:t>
      </w:r>
    </w:p>
    <w:p w:rsidR="00E363B9" w:rsidRPr="00F92DEE" w:rsidRDefault="00E363B9" w:rsidP="00C51B03">
      <w:pPr>
        <w:pStyle w:val="Standard"/>
        <w:spacing w:after="120"/>
        <w:jc w:val="both"/>
        <w:rPr>
          <w:rFonts w:ascii="Liberation Sans" w:hAnsi="Liberation Sans"/>
          <w:sz w:val="20"/>
          <w:szCs w:val="20"/>
        </w:rPr>
      </w:pPr>
      <w:r w:rsidRPr="00F92DEE">
        <w:rPr>
          <w:rFonts w:ascii="Liberation Sans" w:hAnsi="Liberation Sans"/>
          <w:sz w:val="20"/>
          <w:szCs w:val="20"/>
        </w:rPr>
        <w:t xml:space="preserve">L’action PIAVE sélectionne des projets démontrant une réelle prise en compte de la transition énergétique et du développement durable. Les effets du projet du point de vue écologique et énergétique sont utilisés pour sélectionner les meilleurs projets parmi ceux présentés, ou pour ajuster le niveau d'intervention publique accordé au projet. </w:t>
      </w:r>
    </w:p>
    <w:p w:rsidR="00E363B9" w:rsidRPr="00F92DEE" w:rsidRDefault="00E363B9" w:rsidP="00C51B03">
      <w:pPr>
        <w:pStyle w:val="Standard"/>
        <w:spacing w:after="120"/>
        <w:jc w:val="both"/>
        <w:rPr>
          <w:rFonts w:ascii="Liberation Sans" w:hAnsi="Liberation Sans"/>
          <w:sz w:val="20"/>
          <w:szCs w:val="20"/>
        </w:rPr>
      </w:pPr>
      <w:r w:rsidRPr="00E46B96">
        <w:rPr>
          <w:rFonts w:ascii="Liberation Sans" w:hAnsi="Liberation Sans"/>
          <w:b/>
          <w:sz w:val="20"/>
          <w:szCs w:val="20"/>
        </w:rPr>
        <w:t>Aide :</w:t>
      </w:r>
      <w:r w:rsidRPr="00F92DEE">
        <w:rPr>
          <w:rFonts w:ascii="Liberation Sans" w:hAnsi="Liberation Sans"/>
          <w:sz w:val="20"/>
          <w:szCs w:val="20"/>
        </w:rPr>
        <w:t xml:space="preserve"> L’aide de l’Etat s’effectue soit, sous forme de subventions ou d’avances remboursables dans le cadre d’un appel à projet générique, éventuellement complété par un ou plusieurs appels à projets thématiques, soit sous forme d’interventions en fonds propres dans le cadre d’un appel à manifestation d’intérêt. La loi de finances n°2013- 1278 du 29 décembre 2013 pour 2014 prévoit pour cette action une dotation de 730M€ composée de 305M€ pour les  subventions et avances remboursables, et de 425M€ pour les interventions en fonds propres.</w:t>
      </w:r>
    </w:p>
    <w:p w:rsidR="00E363B9" w:rsidRPr="00F92DEE" w:rsidRDefault="00E363B9" w:rsidP="00C51B03">
      <w:pPr>
        <w:pStyle w:val="Standard"/>
        <w:spacing w:after="120"/>
        <w:jc w:val="both"/>
        <w:rPr>
          <w:rFonts w:ascii="Liberation Sans" w:hAnsi="Liberation Sans"/>
          <w:sz w:val="20"/>
          <w:szCs w:val="20"/>
        </w:rPr>
      </w:pPr>
      <w:r w:rsidRPr="00E46B96">
        <w:rPr>
          <w:rFonts w:ascii="Liberation Sans" w:hAnsi="Liberation Sans"/>
          <w:b/>
          <w:sz w:val="20"/>
          <w:szCs w:val="20"/>
        </w:rPr>
        <w:t>Gestionnaire :</w:t>
      </w:r>
      <w:r w:rsidRPr="00F92DEE">
        <w:rPr>
          <w:rFonts w:ascii="Liberation Sans" w:hAnsi="Liberation Sans"/>
          <w:sz w:val="20"/>
          <w:szCs w:val="20"/>
        </w:rPr>
        <w:t xml:space="preserve"> Bpifrance Financement et Bpifrance Investissement</w:t>
      </w:r>
    </w:p>
    <w:p w:rsidR="00E363B9" w:rsidRPr="00F92DEE" w:rsidRDefault="00E363B9" w:rsidP="00C51B03">
      <w:pPr>
        <w:pStyle w:val="Standard"/>
        <w:spacing w:after="120"/>
        <w:jc w:val="both"/>
        <w:rPr>
          <w:rFonts w:ascii="Liberation Sans" w:hAnsi="Liberation Sans"/>
          <w:sz w:val="20"/>
          <w:szCs w:val="20"/>
        </w:rPr>
      </w:pPr>
    </w:p>
    <w:p w:rsidR="00E363B9" w:rsidRDefault="00E363B9">
      <w:pPr>
        <w:pStyle w:val="Standard"/>
        <w:jc w:val="both"/>
      </w:pPr>
    </w:p>
    <w:p w:rsidR="00E363B9" w:rsidRPr="00720871" w:rsidRDefault="00E363B9" w:rsidP="00720871">
      <w:pPr>
        <w:pStyle w:val="ListParagraph"/>
        <w:numPr>
          <w:ilvl w:val="2"/>
          <w:numId w:val="2"/>
        </w:numPr>
        <w:jc w:val="both"/>
        <w:rPr>
          <w:rFonts w:ascii="Liberation Sans" w:hAnsi="Liberation Sans"/>
          <w:b/>
          <w:sz w:val="20"/>
          <w:szCs w:val="20"/>
        </w:rPr>
      </w:pPr>
      <w:r>
        <w:rPr>
          <w:rFonts w:ascii="Liberation Sans" w:hAnsi="Liberation Sans"/>
          <w:b/>
          <w:sz w:val="20"/>
          <w:szCs w:val="20"/>
        </w:rPr>
        <w:t>appels à manifestation d’intérêt de l’Ademe dans le cadre du Programme des investissements d’avenir </w:t>
      </w:r>
    </w:p>
    <w:p w:rsidR="00E363B9" w:rsidRDefault="00E363B9">
      <w:pPr>
        <w:pStyle w:val="Standard"/>
        <w:spacing w:before="120"/>
        <w:jc w:val="both"/>
      </w:pPr>
      <w:r>
        <w:rPr>
          <w:rFonts w:ascii="Liberation Sans" w:hAnsi="Liberation Sans"/>
          <w:sz w:val="20"/>
          <w:szCs w:val="20"/>
        </w:rPr>
        <w:t>Dans le cadre du programme Investissements d’Avenir, l’ADEME a été chargé de lancer un certain nombre d’appels à manifestations d’intérêt visant à promouvoir des technologies et solutions innovantes permettant de répondre aux objectifs de la transition énergétique et écologique. Il s’agit d’apporter un soutien financier au développement de technologies et solutions qui ne sont pas encore commercialisées, le soutien étant apporté aux entreprises ou laboratoires participant au consortium proposant le projet (hormis pour les infrastructures de recharge des véhicules électriques pour lesquelles l’aide est apportée aux collectivités concernées, cf ci-dessous).</w:t>
      </w:r>
    </w:p>
    <w:p w:rsidR="00E363B9" w:rsidRDefault="00E363B9">
      <w:pPr>
        <w:pStyle w:val="Standard"/>
        <w:spacing w:before="120"/>
        <w:jc w:val="both"/>
      </w:pPr>
      <w:r>
        <w:rPr>
          <w:rFonts w:ascii="Liberation Sans" w:hAnsi="Liberation Sans"/>
          <w:sz w:val="20"/>
          <w:szCs w:val="20"/>
        </w:rPr>
        <w:t xml:space="preserve">Les modes d'intervention sont : </w:t>
      </w:r>
    </w:p>
    <w:p w:rsidR="00E363B9" w:rsidRDefault="00E363B9">
      <w:pPr>
        <w:pStyle w:val="ListParagraph"/>
        <w:numPr>
          <w:ilvl w:val="0"/>
          <w:numId w:val="5"/>
        </w:numPr>
        <w:spacing w:before="120"/>
        <w:jc w:val="both"/>
      </w:pPr>
      <w:r>
        <w:rPr>
          <w:rFonts w:ascii="Liberation Sans" w:hAnsi="Liberation Sans"/>
          <w:sz w:val="20"/>
          <w:szCs w:val="20"/>
        </w:rPr>
        <w:t xml:space="preserve">les subventions pour un maximum d'un tiers, </w:t>
      </w:r>
    </w:p>
    <w:p w:rsidR="00E363B9" w:rsidRPr="00FD2243" w:rsidRDefault="00E363B9">
      <w:pPr>
        <w:pStyle w:val="ListParagraph"/>
        <w:numPr>
          <w:ilvl w:val="0"/>
          <w:numId w:val="5"/>
        </w:numPr>
        <w:spacing w:before="120"/>
        <w:jc w:val="both"/>
      </w:pPr>
      <w:r>
        <w:rPr>
          <w:rFonts w:ascii="Liberation Sans" w:hAnsi="Liberation Sans"/>
          <w:sz w:val="20"/>
          <w:szCs w:val="20"/>
        </w:rPr>
        <w:t xml:space="preserve">des interventions avec retours financiers pour au moins deux tiers. Le cas général se base sur des avances remboursables. Des cas minoritaires seront financés </w:t>
      </w:r>
      <w:r w:rsidRPr="00FD2243">
        <w:rPr>
          <w:rFonts w:ascii="Liberation Sans" w:hAnsi="Liberation Sans"/>
          <w:color w:val="auto"/>
          <w:sz w:val="20"/>
          <w:szCs w:val="20"/>
        </w:rPr>
        <w:t xml:space="preserve">sur </w:t>
      </w:r>
      <w:hyperlink r:id="rId15">
        <w:r w:rsidRPr="00FD2243">
          <w:rPr>
            <w:rStyle w:val="LienInternet"/>
            <w:rFonts w:ascii="Liberation Sans" w:hAnsi="Liberation Sans" w:cs="Arial"/>
            <w:color w:val="auto"/>
            <w:sz w:val="20"/>
            <w:szCs w:val="20"/>
          </w:rPr>
          <w:t>fonds propres ou quasi fonds propres</w:t>
        </w:r>
      </w:hyperlink>
      <w:r w:rsidRPr="00FD2243">
        <w:rPr>
          <w:rFonts w:ascii="Liberation Sans" w:hAnsi="Liberation Sans"/>
          <w:color w:val="auto"/>
          <w:sz w:val="20"/>
          <w:szCs w:val="20"/>
        </w:rPr>
        <w:t>.</w:t>
      </w:r>
      <w:r>
        <w:rPr>
          <w:rFonts w:ascii="Liberation Sans" w:hAnsi="Liberation Sans"/>
          <w:sz w:val="20"/>
          <w:szCs w:val="20"/>
        </w:rPr>
        <w:t xml:space="preserve"> </w:t>
      </w:r>
    </w:p>
    <w:p w:rsidR="00E363B9" w:rsidRDefault="00E363B9">
      <w:pPr>
        <w:pStyle w:val="Standard"/>
        <w:spacing w:before="28" w:after="28"/>
        <w:jc w:val="both"/>
      </w:pPr>
      <w:r>
        <w:rPr>
          <w:rFonts w:ascii="Liberation Sans" w:hAnsi="Liberation Sans"/>
          <w:sz w:val="20"/>
          <w:szCs w:val="20"/>
        </w:rPr>
        <w:t xml:space="preserve">Le montant de l’aide sera calculé sur la base des coûts de l’opération considérés comme éligibles. Les critères de sélection des projets sont définis par les </w:t>
      </w:r>
      <w:hyperlink r:id="rId16">
        <w:r w:rsidRPr="00FD2243">
          <w:rPr>
            <w:rStyle w:val="LienInternet"/>
            <w:rFonts w:ascii="Liberation Sans" w:hAnsi="Liberation Sans" w:cs="Arial"/>
            <w:bCs/>
            <w:color w:val="auto"/>
            <w:sz w:val="20"/>
            <w:szCs w:val="20"/>
          </w:rPr>
          <w:t>appels à manifestations d’intérêt</w:t>
        </w:r>
      </w:hyperlink>
      <w:r>
        <w:rPr>
          <w:rFonts w:ascii="Liberation Sans" w:hAnsi="Liberation Sans"/>
          <w:sz w:val="20"/>
          <w:szCs w:val="20"/>
        </w:rPr>
        <w:t xml:space="preserve"> (AMI) accessibles sur le site internet de l’ADEME.</w:t>
      </w:r>
    </w:p>
    <w:p w:rsidR="00E363B9" w:rsidRDefault="00E363B9">
      <w:pPr>
        <w:pStyle w:val="Standard"/>
        <w:spacing w:before="28" w:after="28"/>
        <w:jc w:val="both"/>
      </w:pPr>
      <w:r>
        <w:rPr>
          <w:rFonts w:ascii="Liberation Sans" w:hAnsi="Liberation Sans"/>
          <w:sz w:val="20"/>
          <w:szCs w:val="20"/>
        </w:rPr>
        <w:t>Les aides apportées aux entreprises sont soumises à l’encadrement communautaire des aides d’Etat dans le secteur concurrentiel. Le principe d’un retour financier vers l’Etat en cas de succès du projet est appliqué au travers d’avances remboursables qui font l’objet d’une contractualisation.</w:t>
      </w:r>
    </w:p>
    <w:p w:rsidR="00E363B9" w:rsidRDefault="00E363B9">
      <w:pPr>
        <w:pStyle w:val="Standard"/>
        <w:spacing w:before="28" w:after="28"/>
        <w:jc w:val="both"/>
        <w:rPr>
          <w:rFonts w:ascii="Liberation Sans" w:hAnsi="Liberation Sans"/>
          <w:sz w:val="20"/>
          <w:szCs w:val="20"/>
        </w:rPr>
      </w:pPr>
      <w:r>
        <w:rPr>
          <w:rFonts w:ascii="Liberation Sans" w:hAnsi="Liberation Sans"/>
          <w:sz w:val="20"/>
          <w:szCs w:val="20"/>
        </w:rPr>
        <w:t>Les dossiers déposés en réponse aux différents appels à manifestation d’intérêt sont expertisés par l’ADEME et soumis à l’avis d’un Comité de Pilotage rassemblant les Ministères concernés puis font l’objet d’une décision du CGI (Commissariat Général à l’Investissement). L’ADEME est ensuite chargée de contractualiser avec les partenaires des projets sélectionnés.</w:t>
      </w:r>
    </w:p>
    <w:p w:rsidR="00E363B9" w:rsidRDefault="00E363B9">
      <w:pPr>
        <w:pStyle w:val="Standard"/>
        <w:spacing w:before="28" w:after="28"/>
        <w:jc w:val="both"/>
      </w:pPr>
    </w:p>
    <w:p w:rsidR="00E363B9" w:rsidRDefault="00E363B9">
      <w:pPr>
        <w:pStyle w:val="Standard"/>
        <w:jc w:val="both"/>
      </w:pPr>
      <w:r>
        <w:rPr>
          <w:rFonts w:ascii="Liberation Sans" w:hAnsi="Liberation Sans"/>
          <w:sz w:val="20"/>
          <w:szCs w:val="20"/>
        </w:rPr>
        <w:t>Dix appels à projets actuellement sont ouverts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 xml:space="preserve">AMI Méthodes industrielles pour la rénovation et la construction de bâtiments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 xml:space="preserve">AMI Energies renouvelables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 xml:space="preserve">AMI Systèmes électriques intelligents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 xml:space="preserve">AMI Transports ferroviaires – Edition 2014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 xml:space="preserve">AMI Stockage et Conversion de l’Energie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 xml:space="preserve">AMI Recyclage et valorisation des déchets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 xml:space="preserve">AMI Véhicule routier du futur : technologies, systèmes et mobilité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 xml:space="preserve">AMI Navires du Futur – Edition 2013 </w:t>
      </w:r>
    </w:p>
    <w:p w:rsidR="00E363B9" w:rsidRDefault="00E363B9">
      <w:pPr>
        <w:pStyle w:val="Standard"/>
        <w:ind w:left="720" w:hanging="360"/>
      </w:pPr>
      <w:r>
        <w:rPr>
          <w:rFonts w:ascii="Liberation Sans" w:hAnsi="Liberation Sans"/>
          <w:sz w:val="20"/>
          <w:szCs w:val="20"/>
        </w:rPr>
        <w:t>-</w:t>
      </w:r>
      <w:r>
        <w:rPr>
          <w:rFonts w:ascii="Liberation Sans" w:hAnsi="Liberation Sans"/>
          <w:sz w:val="20"/>
          <w:szCs w:val="20"/>
        </w:rPr>
        <w:tab/>
        <w:t>Dispositif d’aide aux investissements pour des ferries propres</w:t>
      </w:r>
    </w:p>
    <w:p w:rsidR="00E363B9" w:rsidRDefault="00E363B9">
      <w:pPr>
        <w:pStyle w:val="Standard"/>
        <w:ind w:left="720" w:hanging="360"/>
      </w:pPr>
      <w:r>
        <w:rPr>
          <w:rFonts w:ascii="Liberation Sans" w:hAnsi="Liberation Sans"/>
          <w:sz w:val="20"/>
          <w:szCs w:val="20"/>
        </w:rPr>
        <w:t xml:space="preserve">-  </w:t>
      </w:r>
      <w:r>
        <w:rPr>
          <w:rFonts w:ascii="Liberation Sans" w:hAnsi="Liberation Sans"/>
          <w:sz w:val="20"/>
          <w:szCs w:val="20"/>
        </w:rPr>
        <w:tab/>
        <w:t>Dispositif d’aide au déploiement d’infrastructures de recharge pour les véhicules hybrides et électriques.</w:t>
      </w:r>
    </w:p>
    <w:p w:rsidR="00E363B9" w:rsidRDefault="00E363B9">
      <w:pPr>
        <w:pStyle w:val="Standard"/>
        <w:ind w:left="720" w:hanging="360"/>
      </w:pPr>
    </w:p>
    <w:p w:rsidR="00E363B9" w:rsidRDefault="00E363B9">
      <w:pPr>
        <w:pStyle w:val="Standard"/>
        <w:jc w:val="both"/>
      </w:pPr>
      <w:r>
        <w:rPr>
          <w:rFonts w:ascii="Liberation Sans" w:hAnsi="Liberation Sans"/>
          <w:b/>
          <w:color w:val="008000"/>
          <w:sz w:val="20"/>
          <w:szCs w:val="20"/>
        </w:rPr>
        <w:t xml:space="preserve">AMI Méthodes industrielles pour la rénovation et la construction de bâtiments </w:t>
      </w:r>
    </w:p>
    <w:p w:rsidR="00E363B9" w:rsidRDefault="00E363B9">
      <w:pPr>
        <w:pStyle w:val="Standard"/>
        <w:jc w:val="both"/>
      </w:pPr>
    </w:p>
    <w:p w:rsidR="00E363B9" w:rsidRDefault="00E363B9">
      <w:pPr>
        <w:pStyle w:val="Standard"/>
        <w:jc w:val="both"/>
      </w:pPr>
      <w:r>
        <w:rPr>
          <w:rFonts w:ascii="Liberation Sans" w:hAnsi="Liberation Sans"/>
          <w:sz w:val="20"/>
          <w:szCs w:val="20"/>
        </w:rPr>
        <w:t>L’AMI vise des projets de réalisation ou de rénovation de bâtiments aux performances énergétiques supérieures à celles de la réglementation. Les solutions développées devront présenter un ratio coût/performance leur permettant une large diffusion sur le marché.</w:t>
      </w:r>
    </w:p>
    <w:p w:rsidR="00E363B9" w:rsidRDefault="00E363B9">
      <w:pPr>
        <w:pStyle w:val="Standard"/>
      </w:pPr>
    </w:p>
    <w:p w:rsidR="00E363B9" w:rsidRDefault="00E363B9" w:rsidP="00FA66C7">
      <w:pPr>
        <w:pStyle w:val="Standard"/>
        <w:jc w:val="both"/>
        <w:rPr>
          <w:rFonts w:ascii="Liberation Sans" w:hAnsi="Liberation Sans"/>
          <w:sz w:val="20"/>
          <w:szCs w:val="20"/>
        </w:rPr>
      </w:pPr>
      <w:r>
        <w:rPr>
          <w:rFonts w:ascii="Liberation Sans" w:hAnsi="Liberation Sans"/>
          <w:b/>
          <w:sz w:val="20"/>
          <w:szCs w:val="20"/>
        </w:rPr>
        <w:t>L’AMI porte sur </w:t>
      </w:r>
      <w:r>
        <w:rPr>
          <w:rFonts w:ascii="Liberation Sans" w:hAnsi="Liberation Sans"/>
          <w:sz w:val="20"/>
          <w:szCs w:val="20"/>
        </w:rPr>
        <w:t xml:space="preserve">: le développement de solutions « clé en main » pour la rénovation  avec des procédés constructifs pré-industrialisés et packagés, le développement des technologies numériques pour une meilleure communication entre les acteurs du bâtiment, de nouvelles solutions en matière de domotique et d’immotique pour une gestion intelligente des usages énergétiques du bâtiment, le développement de matériaux renouvelables et recyclés : solutions bois construction, matériaux biosourcés et composants de matériaux issus du recyclage. </w:t>
      </w:r>
    </w:p>
    <w:p w:rsidR="00E363B9" w:rsidRDefault="00E363B9" w:rsidP="00FA66C7">
      <w:pPr>
        <w:pStyle w:val="Standard"/>
        <w:jc w:val="both"/>
      </w:pPr>
    </w:p>
    <w:p w:rsidR="00E363B9" w:rsidRDefault="00E363B9">
      <w:pPr>
        <w:pStyle w:val="Standard"/>
        <w:jc w:val="both"/>
      </w:pPr>
      <w:r>
        <w:rPr>
          <w:rFonts w:ascii="Liberation Sans" w:hAnsi="Liberation Sans"/>
          <w:sz w:val="20"/>
          <w:szCs w:val="20"/>
        </w:rPr>
        <w:t>L’AMI soutiendra également les plateformes technologiques pour l’innovation dans le bâtiment, structures de coopération qui ont pour objectif d’améliorer les synergies entre acteurs dans le domaine de l’éco-construction.</w:t>
      </w:r>
    </w:p>
    <w:p w:rsidR="00E363B9" w:rsidRDefault="00E363B9">
      <w:pPr>
        <w:pStyle w:val="Standard"/>
        <w:jc w:val="both"/>
      </w:pPr>
      <w:r>
        <w:rPr>
          <w:rFonts w:ascii="Liberation Sans" w:hAnsi="Liberation Sans"/>
          <w:sz w:val="20"/>
          <w:szCs w:val="20"/>
        </w:rPr>
        <w:t xml:space="preserve"> </w:t>
      </w:r>
      <w:r>
        <w:rPr>
          <w:rFonts w:ascii="Liberation Sans" w:hAnsi="Liberation Sans"/>
          <w:sz w:val="20"/>
          <w:szCs w:val="20"/>
        </w:rPr>
        <w:br/>
        <w:t>Pourront être financés des projets dont le budget total est supérieur à 1 M€.</w:t>
      </w:r>
    </w:p>
    <w:p w:rsidR="00E363B9" w:rsidRDefault="00E363B9">
      <w:pPr>
        <w:pStyle w:val="Standard"/>
        <w:jc w:val="both"/>
      </w:pPr>
    </w:p>
    <w:p w:rsidR="00E363B9" w:rsidRDefault="00E363B9">
      <w:pPr>
        <w:pStyle w:val="Standard"/>
        <w:jc w:val="both"/>
      </w:pPr>
      <w:hyperlink r:id="rId17">
        <w:r>
          <w:rPr>
            <w:rStyle w:val="LienInternet"/>
            <w:rFonts w:ascii="Liberation Sans" w:hAnsi="Liberation Sans" w:cs="Arial"/>
            <w:b/>
            <w:color w:val="008000"/>
            <w:sz w:val="20"/>
            <w:szCs w:val="20"/>
          </w:rPr>
          <w:t>AMI Energies Renouvelables</w:t>
        </w:r>
      </w:hyperlink>
      <w:r>
        <w:rPr>
          <w:rFonts w:ascii="Liberation Sans" w:hAnsi="Liberation Sans"/>
          <w:b/>
          <w:color w:val="008000"/>
          <w:sz w:val="20"/>
          <w:szCs w:val="20"/>
        </w:rPr>
        <w:t xml:space="preserve"> </w:t>
      </w:r>
    </w:p>
    <w:p w:rsidR="00E363B9" w:rsidRDefault="00E363B9">
      <w:pPr>
        <w:pStyle w:val="Standard"/>
        <w:jc w:val="both"/>
      </w:pPr>
    </w:p>
    <w:p w:rsidR="00E363B9" w:rsidRDefault="00E363B9">
      <w:pPr>
        <w:pStyle w:val="Standard"/>
        <w:jc w:val="both"/>
      </w:pPr>
      <w:r>
        <w:rPr>
          <w:rFonts w:ascii="Liberation Sans" w:hAnsi="Liberation Sans"/>
          <w:sz w:val="20"/>
          <w:szCs w:val="20"/>
        </w:rPr>
        <w:t>L’objectif de cet AMI est de soutenir des projets en complément de ceux qui l’ont été dans les AMI précédents dans le domaine de 3 énergies renouvelables (photovoltaïque, solaire thermique et éolien) et de couvrir également 2 nouvelles thématiques : l’hybridation des différentes sources renouvelables (hybridation des solutions renouvelables entre elles et/ou avec les sources d'énergies et/ou avec les moyens de stockage) et le froid renouvelable.</w:t>
      </w:r>
    </w:p>
    <w:p w:rsidR="00E363B9" w:rsidRDefault="00E363B9">
      <w:pPr>
        <w:pStyle w:val="Standard"/>
        <w:jc w:val="both"/>
      </w:pPr>
    </w:p>
    <w:p w:rsidR="00E363B9" w:rsidRDefault="00E363B9">
      <w:pPr>
        <w:pStyle w:val="Standard"/>
        <w:jc w:val="both"/>
        <w:rPr>
          <w:rFonts w:ascii="Liberation Sans" w:hAnsi="Liberation Sans"/>
          <w:sz w:val="20"/>
          <w:szCs w:val="20"/>
        </w:rPr>
      </w:pPr>
      <w:r>
        <w:rPr>
          <w:rFonts w:ascii="Liberation Sans" w:hAnsi="Liberation Sans"/>
          <w:sz w:val="20"/>
          <w:szCs w:val="20"/>
        </w:rPr>
        <w:t xml:space="preserve">La taille minimale des projets attendus est de 3 M€, excepté pour le solaire thermique et l'hybridation (&gt;1,5 M€). </w:t>
      </w:r>
    </w:p>
    <w:p w:rsidR="00E363B9" w:rsidRDefault="00E363B9">
      <w:pPr>
        <w:pStyle w:val="Standard"/>
        <w:jc w:val="both"/>
      </w:pPr>
    </w:p>
    <w:p w:rsidR="00E363B9" w:rsidRDefault="00E363B9">
      <w:pPr>
        <w:pStyle w:val="Standard"/>
        <w:jc w:val="both"/>
      </w:pPr>
      <w:r>
        <w:rPr>
          <w:rFonts w:ascii="Liberation Sans" w:hAnsi="Liberation Sans"/>
          <w:sz w:val="20"/>
          <w:szCs w:val="20"/>
        </w:rPr>
        <w:t>La date limite de dépôt des dossiers est le 2 octobre 2015. Deux clôtures intermédiaires seront effectuées les 3 septembre 2014 et 3 mars 2015.</w:t>
      </w:r>
    </w:p>
    <w:p w:rsidR="00E363B9" w:rsidRDefault="00E363B9">
      <w:pPr>
        <w:pStyle w:val="Standard"/>
      </w:pPr>
    </w:p>
    <w:p w:rsidR="00E363B9" w:rsidRDefault="00E363B9">
      <w:pPr>
        <w:pStyle w:val="Standard"/>
        <w:jc w:val="both"/>
      </w:pPr>
      <w:r>
        <w:rPr>
          <w:rFonts w:ascii="Liberation Sans" w:hAnsi="Liberation Sans"/>
          <w:b/>
          <w:color w:val="008000"/>
          <w:sz w:val="20"/>
          <w:szCs w:val="20"/>
        </w:rPr>
        <w:t>Systèmes électriques intelligents</w:t>
      </w:r>
    </w:p>
    <w:p w:rsidR="00E363B9" w:rsidRDefault="00E363B9">
      <w:pPr>
        <w:pStyle w:val="Standard"/>
        <w:jc w:val="both"/>
      </w:pPr>
    </w:p>
    <w:p w:rsidR="00E363B9" w:rsidRDefault="00E363B9">
      <w:pPr>
        <w:pStyle w:val="Standard"/>
        <w:jc w:val="both"/>
      </w:pPr>
      <w:r>
        <w:rPr>
          <w:rFonts w:ascii="Liberation Sans" w:hAnsi="Liberation Sans"/>
          <w:bCs/>
          <w:sz w:val="20"/>
          <w:szCs w:val="20"/>
        </w:rPr>
        <w:t>Les projets attendus dans le cadre de cet AMI s’inscriront dans les</w:t>
      </w:r>
      <w:r>
        <w:rPr>
          <w:rFonts w:ascii="Liberation Sans" w:hAnsi="Liberation Sans"/>
          <w:b/>
          <w:bCs/>
          <w:sz w:val="20"/>
          <w:szCs w:val="20"/>
        </w:rPr>
        <w:t xml:space="preserve"> enjeux associés au développement des réseaux électriques intelligents</w:t>
      </w:r>
      <w:r>
        <w:rPr>
          <w:rFonts w:ascii="Liberation Sans" w:hAnsi="Liberation Sans"/>
          <w:sz w:val="20"/>
          <w:szCs w:val="20"/>
        </w:rPr>
        <w:t> : faciliter l’insertion de la production renouvelable distribuée, permettre des actions significatives de maîtrise et de gestion de la demande, anticiper l’évolution de l’environnement des réseaux et expérimenter de nouveaux modèles d’affaires favorables à la structuration des acteurs.</w:t>
      </w:r>
    </w:p>
    <w:p w:rsidR="00E363B9" w:rsidRDefault="00E363B9">
      <w:pPr>
        <w:pStyle w:val="Standard"/>
        <w:jc w:val="both"/>
      </w:pPr>
    </w:p>
    <w:p w:rsidR="00E363B9" w:rsidRDefault="00E363B9">
      <w:pPr>
        <w:pStyle w:val="Standard"/>
        <w:jc w:val="both"/>
      </w:pPr>
      <w:r>
        <w:rPr>
          <w:rFonts w:ascii="Liberation Sans" w:hAnsi="Liberation Sans"/>
          <w:sz w:val="20"/>
          <w:szCs w:val="20"/>
        </w:rPr>
        <w:t xml:space="preserve">Ce nouvel AMI vise plus particulièrement </w:t>
      </w:r>
      <w:r>
        <w:rPr>
          <w:rFonts w:ascii="Liberation Sans" w:hAnsi="Liberation Sans"/>
          <w:b/>
          <w:bCs/>
          <w:sz w:val="20"/>
          <w:szCs w:val="20"/>
        </w:rPr>
        <w:t>l’adaptation des réseaux électriques de distribution au déploiement des véhicules électriques et hybrides rechargeables</w:t>
      </w:r>
      <w:r>
        <w:rPr>
          <w:rFonts w:ascii="Liberation Sans" w:hAnsi="Liberation Sans"/>
          <w:sz w:val="20"/>
          <w:szCs w:val="20"/>
        </w:rPr>
        <w:t xml:space="preserve">, la mise en œuvre d’outils innovants de pilotage du réseau et de valorisation de l’électricité d’origine renouvelable à travers </w:t>
      </w:r>
      <w:r>
        <w:rPr>
          <w:rFonts w:ascii="Liberation Sans" w:hAnsi="Liberation Sans"/>
          <w:b/>
          <w:bCs/>
          <w:sz w:val="20"/>
          <w:szCs w:val="20"/>
        </w:rPr>
        <w:t>un changement de vecteur énergétique</w:t>
      </w:r>
      <w:r>
        <w:rPr>
          <w:rFonts w:ascii="Liberation Sans" w:hAnsi="Liberation Sans"/>
          <w:sz w:val="20"/>
          <w:szCs w:val="20"/>
        </w:rPr>
        <w:t xml:space="preserve">, l’émergence de </w:t>
      </w:r>
      <w:r>
        <w:rPr>
          <w:rFonts w:ascii="Liberation Sans" w:hAnsi="Liberation Sans"/>
          <w:b/>
          <w:bCs/>
          <w:sz w:val="20"/>
          <w:szCs w:val="20"/>
        </w:rPr>
        <w:t>synergies entre les offres destinées aux consommateurs</w:t>
      </w:r>
      <w:r>
        <w:rPr>
          <w:rFonts w:ascii="Liberation Sans" w:hAnsi="Liberation Sans"/>
          <w:sz w:val="20"/>
          <w:szCs w:val="20"/>
        </w:rPr>
        <w:t xml:space="preserve">, l’expérimentation de modèles innovants pour </w:t>
      </w:r>
      <w:r>
        <w:rPr>
          <w:rFonts w:ascii="Liberation Sans" w:hAnsi="Liberation Sans"/>
          <w:b/>
          <w:bCs/>
          <w:sz w:val="20"/>
          <w:szCs w:val="20"/>
        </w:rPr>
        <w:t>les territoires électriques de demain</w:t>
      </w:r>
      <w:r>
        <w:rPr>
          <w:rFonts w:ascii="Liberation Sans" w:hAnsi="Liberation Sans"/>
          <w:sz w:val="20"/>
          <w:szCs w:val="20"/>
        </w:rPr>
        <w:t xml:space="preserve"> (clusters énergétiques…) et le déploiement de </w:t>
      </w:r>
      <w:r>
        <w:rPr>
          <w:rFonts w:ascii="Liberation Sans" w:hAnsi="Liberation Sans"/>
          <w:b/>
          <w:bCs/>
          <w:sz w:val="20"/>
          <w:szCs w:val="20"/>
        </w:rPr>
        <w:t>solutions adaptées aux marchés à l’export</w:t>
      </w:r>
      <w:r>
        <w:rPr>
          <w:rFonts w:ascii="Liberation Sans" w:hAnsi="Liberation Sans"/>
          <w:sz w:val="20"/>
          <w:szCs w:val="20"/>
        </w:rPr>
        <w:t>.</w:t>
      </w:r>
    </w:p>
    <w:p w:rsidR="00E363B9" w:rsidRDefault="00E363B9">
      <w:pPr>
        <w:pStyle w:val="Standard"/>
        <w:jc w:val="both"/>
      </w:pPr>
    </w:p>
    <w:p w:rsidR="00E363B9" w:rsidRDefault="00E363B9">
      <w:pPr>
        <w:pStyle w:val="Standard"/>
      </w:pPr>
      <w:r>
        <w:rPr>
          <w:rFonts w:ascii="Liberation Sans" w:hAnsi="Liberation Sans"/>
          <w:sz w:val="20"/>
          <w:szCs w:val="20"/>
        </w:rPr>
        <w:t>Seront instruits en priorité les projets dont le budget total (coût totaux) est supérieur à 2M€.</w:t>
      </w:r>
    </w:p>
    <w:p w:rsidR="00E363B9" w:rsidRDefault="00E363B9">
      <w:pPr>
        <w:pStyle w:val="Standard"/>
      </w:pPr>
      <w:r>
        <w:rPr>
          <w:rFonts w:ascii="Liberation Sans" w:hAnsi="Liberation Sans"/>
          <w:sz w:val="20"/>
          <w:szCs w:val="20"/>
        </w:rPr>
        <w:t>Date de clôture finale : le  11 septembre 2015, avec une clôture intermédiaire au 9 janvier 2015.</w:t>
      </w:r>
    </w:p>
    <w:p w:rsidR="00E363B9" w:rsidRDefault="00E363B9">
      <w:pPr>
        <w:pStyle w:val="Standard"/>
        <w:spacing w:after="60"/>
      </w:pPr>
    </w:p>
    <w:p w:rsidR="00E363B9" w:rsidRDefault="00E363B9">
      <w:pPr>
        <w:pStyle w:val="Standard"/>
        <w:spacing w:after="60"/>
      </w:pPr>
    </w:p>
    <w:p w:rsidR="00E363B9" w:rsidRDefault="00E363B9">
      <w:pPr>
        <w:pStyle w:val="Standard"/>
      </w:pPr>
      <w:r>
        <w:rPr>
          <w:rFonts w:ascii="Liberation Sans" w:hAnsi="Liberation Sans"/>
          <w:b/>
          <w:color w:val="008000"/>
          <w:sz w:val="20"/>
          <w:szCs w:val="20"/>
        </w:rPr>
        <w:t>AMI Transports ferroviaires : Edition 2014</w:t>
      </w:r>
    </w:p>
    <w:p w:rsidR="00E363B9" w:rsidRDefault="00E363B9">
      <w:pPr>
        <w:pStyle w:val="Standard"/>
        <w:spacing w:after="120"/>
        <w:jc w:val="both"/>
      </w:pPr>
      <w:r>
        <w:rPr>
          <w:rFonts w:ascii="Liberation Sans" w:hAnsi="Liberation Sans"/>
          <w:sz w:val="20"/>
          <w:szCs w:val="20"/>
        </w:rPr>
        <w:t xml:space="preserve">Le présent AMI couvre </w:t>
      </w:r>
      <w:r>
        <w:rPr>
          <w:rFonts w:ascii="Liberation Sans" w:hAnsi="Liberation Sans"/>
          <w:b/>
          <w:sz w:val="20"/>
          <w:szCs w:val="20"/>
        </w:rPr>
        <w:t>les systèmes et matériels de transports ferroviaires, guidés au sol, à l’usage des personnes et des marchandises, tant en milieux urbains et interurbains que sur les courtes et longues distances</w:t>
      </w:r>
      <w:r>
        <w:rPr>
          <w:rFonts w:ascii="Liberation Sans" w:hAnsi="Liberation Sans"/>
          <w:sz w:val="20"/>
          <w:szCs w:val="20"/>
        </w:rPr>
        <w:t xml:space="preserve">. Sont donc inclus dans cet AMI les matériels roulants et les équipements associés. </w:t>
      </w:r>
    </w:p>
    <w:p w:rsidR="00E363B9" w:rsidRDefault="00E363B9">
      <w:pPr>
        <w:pStyle w:val="Standard"/>
        <w:jc w:val="both"/>
      </w:pPr>
      <w:r>
        <w:rPr>
          <w:rFonts w:ascii="Liberation Sans" w:hAnsi="Liberation Sans"/>
          <w:sz w:val="20"/>
          <w:szCs w:val="20"/>
        </w:rPr>
        <w:t>L’AMI s’est ouvert le 1er janvier 2014 et se clôture le 1er avril 2015.</w:t>
      </w:r>
    </w:p>
    <w:p w:rsidR="00E363B9" w:rsidRDefault="00E363B9">
      <w:pPr>
        <w:pStyle w:val="Standard"/>
        <w:jc w:val="both"/>
      </w:pPr>
    </w:p>
    <w:p w:rsidR="00E363B9" w:rsidRDefault="00E363B9">
      <w:pPr>
        <w:pStyle w:val="Standard"/>
        <w:jc w:val="both"/>
      </w:pPr>
    </w:p>
    <w:p w:rsidR="00E363B9" w:rsidRDefault="00E363B9">
      <w:pPr>
        <w:pStyle w:val="Standard"/>
      </w:pPr>
      <w:r>
        <w:rPr>
          <w:rFonts w:ascii="Liberation Sans" w:hAnsi="Liberation Sans"/>
          <w:b/>
          <w:color w:val="008000"/>
          <w:sz w:val="20"/>
          <w:szCs w:val="20"/>
        </w:rPr>
        <w:t>AMI Stockage et Conversion de l’Energie</w:t>
      </w:r>
    </w:p>
    <w:p w:rsidR="00E363B9" w:rsidRDefault="00E363B9">
      <w:pPr>
        <w:pStyle w:val="Standard"/>
        <w:jc w:val="both"/>
      </w:pPr>
      <w:r>
        <w:rPr>
          <w:rFonts w:ascii="Liberation Sans" w:hAnsi="Liberation Sans"/>
          <w:bCs/>
          <w:sz w:val="20"/>
          <w:szCs w:val="20"/>
        </w:rPr>
        <w:t xml:space="preserve">Cet AMI vise à accompagner le développement de projets de </w:t>
      </w:r>
      <w:r>
        <w:rPr>
          <w:rFonts w:ascii="Liberation Sans" w:hAnsi="Liberation Sans"/>
          <w:b/>
          <w:bCs/>
          <w:sz w:val="20"/>
          <w:szCs w:val="20"/>
        </w:rPr>
        <w:t>briques technologiques et démonstrateurs dans le domaine du stockage de l’énergie</w:t>
      </w:r>
      <w:r>
        <w:rPr>
          <w:rFonts w:ascii="Liberation Sans" w:hAnsi="Liberation Sans"/>
          <w:bCs/>
          <w:sz w:val="20"/>
          <w:szCs w:val="20"/>
        </w:rPr>
        <w:t xml:space="preserve"> (thématique 1) et de la </w:t>
      </w:r>
      <w:r>
        <w:rPr>
          <w:rFonts w:ascii="Liberation Sans" w:hAnsi="Liberation Sans"/>
          <w:b/>
          <w:bCs/>
          <w:sz w:val="20"/>
          <w:szCs w:val="20"/>
        </w:rPr>
        <w:t>conversion de l’électricité renouvelable en hydrogène</w:t>
      </w:r>
      <w:r>
        <w:rPr>
          <w:rFonts w:ascii="Liberation Sans" w:hAnsi="Liberation Sans"/>
          <w:bCs/>
          <w:sz w:val="20"/>
          <w:szCs w:val="20"/>
        </w:rPr>
        <w:t xml:space="preserve"> (thématique 2) afin de valoriser les énergies renouvelables fluctuantes et de garantir la stabilité du réseau.  </w:t>
      </w:r>
    </w:p>
    <w:p w:rsidR="00E363B9" w:rsidRDefault="00E363B9">
      <w:pPr>
        <w:pStyle w:val="Standard"/>
        <w:jc w:val="both"/>
      </w:pPr>
    </w:p>
    <w:p w:rsidR="00E363B9" w:rsidRDefault="00E363B9">
      <w:pPr>
        <w:pStyle w:val="Standard"/>
        <w:jc w:val="both"/>
      </w:pPr>
      <w:r>
        <w:rPr>
          <w:rFonts w:ascii="Liberation Sans" w:hAnsi="Liberation Sans"/>
          <w:bCs/>
          <w:sz w:val="20"/>
          <w:szCs w:val="20"/>
        </w:rPr>
        <w:t>Dans la thématique 1, toutes les technologies de stockage de chaleur ou d’électricité peuvent être présentées. La thématique 2 concerne la production d’hydrogène et sa conversion en électricité pour des applications mobiles ou non-connectées, et la production d’hydrogène et sa réaction avec du CO2 pour la synthèse de produits à forte valeur ajoutée.</w:t>
      </w:r>
    </w:p>
    <w:p w:rsidR="00E363B9" w:rsidRDefault="00E363B9">
      <w:pPr>
        <w:pStyle w:val="Standard"/>
        <w:jc w:val="both"/>
      </w:pPr>
      <w:r>
        <w:rPr>
          <w:rFonts w:ascii="Liberation Sans" w:hAnsi="Liberation Sans"/>
          <w:bCs/>
          <w:sz w:val="20"/>
          <w:szCs w:val="20"/>
        </w:rPr>
        <w:br/>
      </w:r>
      <w:r>
        <w:rPr>
          <w:rFonts w:ascii="Liberation Sans" w:hAnsi="Liberation Sans"/>
          <w:sz w:val="20"/>
          <w:szCs w:val="20"/>
        </w:rPr>
        <w:t xml:space="preserve">La taille minimale des projets attendus à cet AMI est de </w:t>
      </w:r>
      <w:r>
        <w:rPr>
          <w:rFonts w:ascii="Liberation Sans" w:hAnsi="Liberation Sans"/>
          <w:bCs/>
          <w:sz w:val="20"/>
          <w:szCs w:val="20"/>
        </w:rPr>
        <w:t>3 M€</w:t>
      </w:r>
      <w:r>
        <w:rPr>
          <w:rFonts w:ascii="Liberation Sans" w:hAnsi="Liberation Sans"/>
          <w:sz w:val="20"/>
          <w:szCs w:val="20"/>
        </w:rPr>
        <w:t xml:space="preserve">, </w:t>
      </w:r>
      <w:r>
        <w:rPr>
          <w:rFonts w:ascii="Liberation Sans" w:hAnsi="Liberation Sans"/>
          <w:bCs/>
          <w:sz w:val="20"/>
          <w:szCs w:val="20"/>
        </w:rPr>
        <w:t>et la date limite de dépôt des dossiers est le 28 janvier 2015. Une clôture intermédiaire a été effectuée le 31 mars 2014.</w:t>
      </w:r>
    </w:p>
    <w:p w:rsidR="00E363B9" w:rsidRDefault="00E363B9">
      <w:pPr>
        <w:pStyle w:val="Standard"/>
      </w:pPr>
    </w:p>
    <w:p w:rsidR="00E363B9" w:rsidRDefault="00E363B9">
      <w:pPr>
        <w:pStyle w:val="Standard"/>
      </w:pPr>
      <w:r>
        <w:rPr>
          <w:rFonts w:ascii="Liberation Sans" w:hAnsi="Liberation Sans"/>
          <w:b/>
          <w:color w:val="008000"/>
          <w:sz w:val="20"/>
          <w:szCs w:val="20"/>
        </w:rPr>
        <w:t>Recyclage et valorisation des déchets</w:t>
      </w:r>
    </w:p>
    <w:p w:rsidR="00E363B9" w:rsidRDefault="00E363B9">
      <w:pPr>
        <w:pStyle w:val="Standard"/>
        <w:jc w:val="both"/>
      </w:pPr>
      <w:r>
        <w:rPr>
          <w:rFonts w:ascii="Liberation Sans" w:hAnsi="Liberation Sans"/>
          <w:sz w:val="20"/>
          <w:szCs w:val="20"/>
        </w:rPr>
        <w:t>L’objectif de l’AMI est, dans le cadre de l’économie circulaire, de développer des innovations technologiques et des solutions industrielles innovantes visant à augmenter la réutilisation, le recyclage et la valorisation, y compris énergétique, de déchets.</w:t>
      </w:r>
    </w:p>
    <w:p w:rsidR="00E363B9" w:rsidRDefault="00E363B9">
      <w:pPr>
        <w:pStyle w:val="Standard"/>
        <w:jc w:val="both"/>
      </w:pPr>
      <w:r>
        <w:rPr>
          <w:rFonts w:ascii="Liberation Sans" w:hAnsi="Liberation Sans"/>
          <w:sz w:val="20"/>
          <w:szCs w:val="20"/>
        </w:rPr>
        <w:t xml:space="preserve">Les projets doivent répondre à au moins l’un des deux axes suivants : </w:t>
      </w:r>
    </w:p>
    <w:p w:rsidR="00E363B9" w:rsidRDefault="00E363B9">
      <w:pPr>
        <w:pStyle w:val="Standard"/>
        <w:ind w:left="720" w:hanging="360"/>
        <w:jc w:val="both"/>
      </w:pPr>
      <w:r>
        <w:rPr>
          <w:rFonts w:ascii="Liberation Sans" w:hAnsi="Liberation Sans"/>
          <w:sz w:val="20"/>
          <w:szCs w:val="20"/>
        </w:rPr>
        <w:t>·</w:t>
      </w:r>
      <w:r>
        <w:rPr>
          <w:rFonts w:ascii="Liberation Sans" w:hAnsi="Liberation Sans"/>
          <w:sz w:val="20"/>
          <w:szCs w:val="20"/>
        </w:rPr>
        <w:tab/>
        <w:t xml:space="preserve">Collecte, tri et préparation des déchets et des matières qui en sont issues </w:t>
      </w:r>
    </w:p>
    <w:p w:rsidR="00E363B9" w:rsidRDefault="00E363B9">
      <w:pPr>
        <w:pStyle w:val="Standard"/>
        <w:ind w:left="720" w:hanging="360"/>
        <w:jc w:val="both"/>
      </w:pPr>
      <w:r>
        <w:rPr>
          <w:rFonts w:ascii="Liberation Sans" w:hAnsi="Liberation Sans"/>
          <w:sz w:val="20"/>
          <w:szCs w:val="20"/>
        </w:rPr>
        <w:t>·</w:t>
      </w:r>
      <w:r>
        <w:rPr>
          <w:rFonts w:ascii="Liberation Sans" w:hAnsi="Liberation Sans"/>
          <w:sz w:val="20"/>
          <w:szCs w:val="20"/>
        </w:rPr>
        <w:tab/>
        <w:t>Transformation et mise en œuvre des matières issues de déchets</w:t>
      </w:r>
    </w:p>
    <w:p w:rsidR="00E363B9" w:rsidRDefault="00E363B9">
      <w:pPr>
        <w:pStyle w:val="Standard"/>
        <w:jc w:val="both"/>
      </w:pPr>
    </w:p>
    <w:p w:rsidR="00E363B9" w:rsidRDefault="00E363B9">
      <w:pPr>
        <w:pStyle w:val="Standard"/>
        <w:jc w:val="both"/>
      </w:pPr>
      <w:r>
        <w:rPr>
          <w:rFonts w:ascii="Liberation Sans" w:hAnsi="Liberation Sans"/>
          <w:sz w:val="20"/>
          <w:szCs w:val="20"/>
        </w:rPr>
        <w:t>Les projets doivent permettre de mobiliser et de valoriser des gisements de déchets pour lesquels les taux de recyclage ou de valorisation sont encore insuffisants. Des priorités d’actions concernent les 4 domaines suivants, présentant des enjeux forts : filières REP (responsabilité élargie du producteur), recyclage des métaux stratégiques, déchets du bâtiment, valorisation des déchets organiques.</w:t>
      </w:r>
    </w:p>
    <w:p w:rsidR="00E363B9" w:rsidRDefault="00E363B9">
      <w:pPr>
        <w:pStyle w:val="Standard"/>
        <w:jc w:val="both"/>
      </w:pPr>
    </w:p>
    <w:p w:rsidR="00E363B9" w:rsidRDefault="00E363B9">
      <w:pPr>
        <w:pStyle w:val="Standard"/>
        <w:jc w:val="both"/>
      </w:pPr>
      <w:r>
        <w:rPr>
          <w:rFonts w:ascii="Liberation Sans" w:hAnsi="Liberation Sans"/>
          <w:sz w:val="20"/>
          <w:szCs w:val="20"/>
        </w:rPr>
        <w:t>Date limite de dépôt des dossiers : 16 janvier 2015</w:t>
      </w:r>
    </w:p>
    <w:p w:rsidR="00E363B9" w:rsidRDefault="00E363B9">
      <w:pPr>
        <w:pStyle w:val="Standard"/>
        <w:jc w:val="both"/>
      </w:pPr>
    </w:p>
    <w:p w:rsidR="00E363B9" w:rsidRDefault="00E363B9">
      <w:pPr>
        <w:pStyle w:val="Standard"/>
      </w:pPr>
      <w:r>
        <w:rPr>
          <w:rFonts w:ascii="Liberation Sans" w:hAnsi="Liberation Sans"/>
          <w:b/>
          <w:color w:val="008000"/>
          <w:sz w:val="20"/>
          <w:szCs w:val="20"/>
        </w:rPr>
        <w:t>AMI Véhicule routier du futur : technologies, systèmes et mobilité</w:t>
      </w:r>
    </w:p>
    <w:p w:rsidR="00E363B9" w:rsidRDefault="00E363B9">
      <w:pPr>
        <w:pStyle w:val="Standard"/>
        <w:spacing w:after="120"/>
        <w:jc w:val="both"/>
      </w:pPr>
      <w:r>
        <w:rPr>
          <w:rFonts w:ascii="Liberation Sans" w:hAnsi="Liberation Sans"/>
          <w:sz w:val="20"/>
          <w:szCs w:val="20"/>
        </w:rPr>
        <w:t xml:space="preserve">L’AMI a pour objectif de sélectionner des projets développant des </w:t>
      </w:r>
      <w:r>
        <w:rPr>
          <w:rFonts w:ascii="Liberation Sans" w:hAnsi="Liberation Sans"/>
          <w:b/>
          <w:sz w:val="20"/>
          <w:szCs w:val="20"/>
        </w:rPr>
        <w:t xml:space="preserve">technologies, des services et des solutions industrielles </w:t>
      </w:r>
      <w:r>
        <w:rPr>
          <w:rFonts w:ascii="Liberation Sans" w:hAnsi="Liberation Sans"/>
          <w:sz w:val="20"/>
          <w:szCs w:val="20"/>
        </w:rPr>
        <w:t xml:space="preserve">ambitieuses, innovantes et durables en matière de </w:t>
      </w:r>
      <w:r>
        <w:rPr>
          <w:rFonts w:ascii="Liberation Sans" w:hAnsi="Liberation Sans"/>
          <w:b/>
          <w:sz w:val="20"/>
          <w:szCs w:val="20"/>
        </w:rPr>
        <w:t>déplacements routiers.</w:t>
      </w:r>
      <w:r>
        <w:rPr>
          <w:rFonts w:ascii="Liberation Sans" w:hAnsi="Liberation Sans"/>
          <w:sz w:val="20"/>
          <w:szCs w:val="20"/>
        </w:rPr>
        <w:t xml:space="preserve"> Ils conduisent à un développement industriel et économique ambitieux des entreprises qui les développent. Ces projets permettent des gains significatifs de consommation en carburant. Ils contribuent à la réduction de l’empreinte environnementale et sont créateurs d’emplois.</w:t>
      </w:r>
    </w:p>
    <w:p w:rsidR="00E363B9" w:rsidRDefault="00E363B9">
      <w:pPr>
        <w:pStyle w:val="Standard"/>
        <w:spacing w:after="120"/>
        <w:jc w:val="both"/>
      </w:pPr>
      <w:r>
        <w:rPr>
          <w:rFonts w:ascii="Liberation Sans" w:hAnsi="Liberation Sans"/>
          <w:b/>
          <w:sz w:val="20"/>
          <w:szCs w:val="20"/>
        </w:rPr>
        <w:t>Le champ thématique de l’AMI correspond aux véhicules routiers permettant le transport de personnes et/ou de marchandises (hors transport fluvial, maritime ou ferroviaire). Les travaux pourront porter sur des applicatifs variés, allant du 2-roues motorisé au véhicule lourd.</w:t>
      </w:r>
    </w:p>
    <w:p w:rsidR="00E363B9" w:rsidRDefault="00E363B9">
      <w:pPr>
        <w:pStyle w:val="Standard"/>
        <w:jc w:val="both"/>
      </w:pPr>
      <w:r>
        <w:rPr>
          <w:rFonts w:ascii="Liberation Sans" w:hAnsi="Liberation Sans"/>
          <w:sz w:val="20"/>
          <w:szCs w:val="20"/>
        </w:rPr>
        <w:t>L’AMI s’est ouvert le 11 juin 2013 et se clôture le 1er décembre 2014.</w:t>
      </w:r>
    </w:p>
    <w:p w:rsidR="00E363B9" w:rsidRDefault="00E363B9">
      <w:pPr>
        <w:pStyle w:val="Standard"/>
        <w:jc w:val="both"/>
      </w:pPr>
    </w:p>
    <w:p w:rsidR="00E363B9" w:rsidRDefault="00E363B9">
      <w:pPr>
        <w:pStyle w:val="Standard"/>
      </w:pPr>
    </w:p>
    <w:p w:rsidR="00E363B9" w:rsidRDefault="00E363B9">
      <w:pPr>
        <w:pStyle w:val="Standard"/>
      </w:pPr>
      <w:r>
        <w:rPr>
          <w:rFonts w:ascii="Liberation Sans" w:hAnsi="Liberation Sans"/>
          <w:b/>
          <w:color w:val="008000"/>
          <w:sz w:val="20"/>
          <w:szCs w:val="20"/>
        </w:rPr>
        <w:t>AMI Navires du futur : Edition 2013</w:t>
      </w:r>
    </w:p>
    <w:p w:rsidR="00E363B9" w:rsidRDefault="00E363B9">
      <w:pPr>
        <w:pStyle w:val="Standard"/>
        <w:spacing w:after="120"/>
      </w:pPr>
      <w:r>
        <w:rPr>
          <w:rFonts w:ascii="Liberation Sans" w:hAnsi="Liberation Sans"/>
          <w:sz w:val="20"/>
          <w:szCs w:val="20"/>
        </w:rPr>
        <w:t xml:space="preserve">Le présent AMI concerne les </w:t>
      </w:r>
      <w:r>
        <w:rPr>
          <w:rFonts w:ascii="Liberation Sans" w:hAnsi="Liberation Sans"/>
          <w:b/>
          <w:sz w:val="20"/>
          <w:szCs w:val="20"/>
        </w:rPr>
        <w:t>bateaux et navires</w:t>
      </w:r>
      <w:r>
        <w:rPr>
          <w:rFonts w:ascii="Liberation Sans" w:hAnsi="Liberation Sans"/>
          <w:sz w:val="20"/>
          <w:szCs w:val="20"/>
        </w:rPr>
        <w:t xml:space="preserve"> qui ont une fonction commerciale de transport (de personnes ou/et de marchandises), une fonction de travail (pêche, pose et maintenance dans le domaine des énergies marines renouvelables (EMR), surveillance de zones maritimes, recherches, dragage, …), ou une fonction de loisir (plaisance). </w:t>
      </w:r>
    </w:p>
    <w:p w:rsidR="00E363B9" w:rsidRDefault="00E363B9">
      <w:pPr>
        <w:pStyle w:val="Standard"/>
        <w:spacing w:after="120"/>
        <w:jc w:val="both"/>
      </w:pPr>
      <w:r>
        <w:rPr>
          <w:rFonts w:ascii="Liberation Sans" w:hAnsi="Liberation Sans"/>
          <w:sz w:val="20"/>
          <w:szCs w:val="20"/>
        </w:rPr>
        <w:t>Cet AMI couvre les filières du domaine maritime, fluvial et de la plaisance et inclue les équipements directement liés au navire.</w:t>
      </w:r>
    </w:p>
    <w:p w:rsidR="00E363B9" w:rsidRDefault="00E363B9">
      <w:pPr>
        <w:pStyle w:val="Standard"/>
        <w:jc w:val="both"/>
      </w:pPr>
      <w:r>
        <w:rPr>
          <w:rFonts w:ascii="Liberation Sans" w:hAnsi="Liberation Sans"/>
          <w:sz w:val="20"/>
          <w:szCs w:val="20"/>
        </w:rPr>
        <w:t>L’AMI est s’ouvert le 14 octobre 2013 et se clôture le 28 novembre 2014.</w:t>
      </w:r>
    </w:p>
    <w:p w:rsidR="00E363B9" w:rsidRDefault="00E363B9">
      <w:pPr>
        <w:pStyle w:val="Standard"/>
        <w:jc w:val="both"/>
      </w:pPr>
    </w:p>
    <w:p w:rsidR="00E363B9" w:rsidRDefault="00E363B9">
      <w:pPr>
        <w:pStyle w:val="Standard"/>
      </w:pPr>
    </w:p>
    <w:p w:rsidR="00E363B9" w:rsidRDefault="00E363B9">
      <w:pPr>
        <w:pStyle w:val="Standard"/>
      </w:pPr>
      <w:r>
        <w:rPr>
          <w:rFonts w:ascii="Liberation Sans" w:hAnsi="Liberation Sans"/>
          <w:b/>
          <w:color w:val="008000"/>
          <w:sz w:val="20"/>
          <w:szCs w:val="20"/>
        </w:rPr>
        <w:t xml:space="preserve">Appel à projets : Aide aux investissements pour des ferries propres </w:t>
      </w:r>
    </w:p>
    <w:p w:rsidR="00E363B9" w:rsidRDefault="00E363B9">
      <w:pPr>
        <w:pStyle w:val="Standard"/>
        <w:spacing w:after="120"/>
        <w:jc w:val="both"/>
      </w:pPr>
      <w:r>
        <w:rPr>
          <w:rFonts w:ascii="Liberation Sans" w:hAnsi="Liberation Sans"/>
          <w:sz w:val="20"/>
          <w:szCs w:val="20"/>
        </w:rPr>
        <w:t xml:space="preserve">L’appel à projets concerne les </w:t>
      </w:r>
      <w:r>
        <w:rPr>
          <w:rFonts w:ascii="Liberation Sans" w:hAnsi="Liberation Sans"/>
          <w:b/>
          <w:sz w:val="20"/>
          <w:szCs w:val="20"/>
        </w:rPr>
        <w:t>navires à passagers neufs et existants de grande taille opérant sur des lignes régulières entre des ports communautaires</w:t>
      </w:r>
      <w:r>
        <w:rPr>
          <w:rFonts w:ascii="Liberation Sans" w:hAnsi="Liberation Sans"/>
          <w:sz w:val="20"/>
          <w:szCs w:val="20"/>
        </w:rPr>
        <w:t>.</w:t>
      </w:r>
    </w:p>
    <w:p w:rsidR="00E363B9" w:rsidRDefault="00E363B9">
      <w:pPr>
        <w:pStyle w:val="Standard"/>
        <w:spacing w:after="120"/>
        <w:jc w:val="both"/>
      </w:pPr>
      <w:r>
        <w:rPr>
          <w:rFonts w:ascii="Liberation Sans" w:hAnsi="Liberation Sans"/>
          <w:b/>
          <w:sz w:val="20"/>
          <w:szCs w:val="20"/>
        </w:rPr>
        <w:t>Sont inclus</w:t>
      </w:r>
      <w:r>
        <w:rPr>
          <w:rFonts w:ascii="Liberation Sans" w:hAnsi="Liberation Sans"/>
          <w:sz w:val="20"/>
          <w:szCs w:val="20"/>
        </w:rPr>
        <w:t xml:space="preserve"> dans cet appel à projets les navires à motorisation dual-fuel fonctionnant au gaz naturel liquéfié (GNL) y compris la conversion de navires existants, les systèmes de réduction des émissions atmosphériques permettant  d’aller au-delà des normes communautaires en vigueur ou de se conformer à de futures normes.</w:t>
      </w:r>
    </w:p>
    <w:p w:rsidR="00E363B9" w:rsidRDefault="00E363B9">
      <w:pPr>
        <w:pStyle w:val="Standard"/>
        <w:jc w:val="both"/>
      </w:pPr>
    </w:p>
    <w:p w:rsidR="00E363B9" w:rsidRDefault="00E363B9">
      <w:pPr>
        <w:pStyle w:val="Standard"/>
        <w:jc w:val="both"/>
      </w:pPr>
      <w:r>
        <w:rPr>
          <w:rFonts w:ascii="Liberation Sans" w:hAnsi="Liberation Sans"/>
          <w:sz w:val="20"/>
          <w:szCs w:val="20"/>
        </w:rPr>
        <w:t>L’appel à projet s’est ouvert le 31 mars 2014 et se clôture le 31 décembre 2015.</w:t>
      </w:r>
    </w:p>
    <w:p w:rsidR="00E363B9" w:rsidRDefault="00E363B9">
      <w:pPr>
        <w:pStyle w:val="Standard"/>
        <w:jc w:val="both"/>
      </w:pPr>
    </w:p>
    <w:p w:rsidR="00E363B9" w:rsidRDefault="00E363B9">
      <w:pPr>
        <w:pStyle w:val="Standard"/>
      </w:pPr>
    </w:p>
    <w:p w:rsidR="00E363B9" w:rsidRDefault="00E363B9">
      <w:pPr>
        <w:pStyle w:val="Standard"/>
      </w:pPr>
      <w:r>
        <w:rPr>
          <w:rFonts w:ascii="Liberation Sans" w:hAnsi="Liberation Sans"/>
          <w:b/>
          <w:color w:val="008000"/>
          <w:sz w:val="20"/>
          <w:szCs w:val="20"/>
        </w:rPr>
        <w:t>Dispositif d’aide au Déploiement d’infrastructures de recharge pour les véhicules hybrides et électriques</w:t>
      </w:r>
    </w:p>
    <w:p w:rsidR="00E363B9" w:rsidRDefault="00E363B9">
      <w:pPr>
        <w:pStyle w:val="Standard"/>
        <w:jc w:val="both"/>
      </w:pPr>
      <w:r>
        <w:rPr>
          <w:rFonts w:ascii="Liberation Sans" w:hAnsi="Liberation Sans"/>
          <w:sz w:val="20"/>
          <w:szCs w:val="20"/>
        </w:rPr>
        <w:t>Le Dispositif permet de soutenir financièrement les villes, agglomérations, groupements d’agglomérations, syndicats intercommunaux, départements, régions qui respectent les critères d’éligibilité et qui s’engagent dans le déploiement des infrastructures de recharge pour véhicules électriques ou hybrides rechargeables.</w:t>
      </w:r>
    </w:p>
    <w:p w:rsidR="00E363B9" w:rsidRDefault="00E363B9">
      <w:pPr>
        <w:pStyle w:val="Standard"/>
        <w:jc w:val="both"/>
      </w:pPr>
      <w:r>
        <w:rPr>
          <w:rFonts w:ascii="Liberation Sans" w:hAnsi="Liberation Sans"/>
          <w:sz w:val="20"/>
          <w:szCs w:val="20"/>
        </w:rPr>
        <w:t xml:space="preserve">Sont éligibles les projets d’infrastructures déployées permettant la mise à disposition </w:t>
      </w:r>
      <w:r>
        <w:rPr>
          <w:rFonts w:ascii="Liberation Sans" w:hAnsi="Liberation Sans"/>
          <w:b/>
          <w:bCs/>
          <w:sz w:val="20"/>
          <w:szCs w:val="20"/>
        </w:rPr>
        <w:t xml:space="preserve">d’au moins un point de charge pour 3000 habitants </w:t>
      </w:r>
      <w:r>
        <w:rPr>
          <w:rFonts w:ascii="Liberation Sans" w:hAnsi="Liberation Sans"/>
          <w:sz w:val="20"/>
          <w:szCs w:val="20"/>
        </w:rPr>
        <w:t xml:space="preserve">sur les territoires où sont installées les infrastructures financées. Les coûts liés aux infrastructures (coûts du matériel, de génie civil, d’ingénierie liée à l’installation et de raccordement au réseau du distributeur d’électricité) doivent être </w:t>
      </w:r>
      <w:r>
        <w:rPr>
          <w:rFonts w:ascii="Liberation Sans" w:hAnsi="Liberation Sans"/>
          <w:b/>
          <w:bCs/>
          <w:sz w:val="20"/>
          <w:szCs w:val="20"/>
        </w:rPr>
        <w:t>supérieurs ou égaux à 200 000 euros</w:t>
      </w:r>
      <w:r>
        <w:rPr>
          <w:rFonts w:ascii="Liberation Sans" w:hAnsi="Liberation Sans"/>
          <w:sz w:val="20"/>
          <w:szCs w:val="20"/>
        </w:rPr>
        <w:t>.</w:t>
      </w:r>
    </w:p>
    <w:p w:rsidR="00E363B9" w:rsidRDefault="00E363B9">
      <w:pPr>
        <w:pStyle w:val="Standard"/>
        <w:jc w:val="both"/>
      </w:pPr>
      <w:r>
        <w:rPr>
          <w:rFonts w:ascii="Liberation Sans" w:hAnsi="Liberation Sans"/>
          <w:sz w:val="20"/>
          <w:szCs w:val="20"/>
        </w:rPr>
        <w:t xml:space="preserve">La contribution de l’Etat se fait sous forme de subventions : </w:t>
      </w:r>
    </w:p>
    <w:p w:rsidR="00E363B9" w:rsidRDefault="00E363B9">
      <w:pPr>
        <w:pStyle w:val="Standard"/>
        <w:jc w:val="both"/>
      </w:pPr>
      <w:r>
        <w:rPr>
          <w:rFonts w:ascii="Liberation Sans" w:hAnsi="Liberation Sans"/>
          <w:sz w:val="20"/>
          <w:szCs w:val="20"/>
          <w:u w:val="single"/>
        </w:rPr>
        <w:t xml:space="preserve">Dans le cas d’infrastructures directement acquises par les collectivités </w:t>
      </w:r>
    </w:p>
    <w:p w:rsidR="00E363B9" w:rsidRDefault="00E363B9">
      <w:pPr>
        <w:pStyle w:val="Standard"/>
        <w:jc w:val="both"/>
      </w:pPr>
      <w:r>
        <w:rPr>
          <w:rFonts w:ascii="Liberation Sans" w:hAnsi="Liberation Sans"/>
          <w:sz w:val="20"/>
          <w:szCs w:val="20"/>
        </w:rPr>
        <w:t>- les infrastructures permettant uniquement la recharge normale jusqu’à 3,7 kVA bénéficient d’un taux de soutien maximum de 50% des coûts éligibles d’investissements (coûts hors taxes), avec un plafond d’aide de 1 500 euros par point de charge,</w:t>
      </w:r>
    </w:p>
    <w:p w:rsidR="00E363B9" w:rsidRDefault="00E363B9">
      <w:pPr>
        <w:pStyle w:val="Standard"/>
        <w:jc w:val="both"/>
      </w:pPr>
      <w:r>
        <w:rPr>
          <w:rFonts w:ascii="Liberation Sans" w:hAnsi="Liberation Sans"/>
          <w:sz w:val="20"/>
          <w:szCs w:val="20"/>
        </w:rPr>
        <w:t>- les infrastructures permettant la recharge accélérée jusqu’à 22 kVA bénéficient d’un taux de soutien maximum de 50% des coûts éligibles d’investissements (coûts hors taxes), avec un plafond d’aide de 3 000 euros par point de charge,</w:t>
      </w:r>
    </w:p>
    <w:p w:rsidR="00E363B9" w:rsidRDefault="00E363B9">
      <w:pPr>
        <w:pStyle w:val="Standard"/>
        <w:jc w:val="both"/>
      </w:pPr>
      <w:r>
        <w:rPr>
          <w:rFonts w:ascii="Liberation Sans" w:hAnsi="Liberation Sans"/>
          <w:sz w:val="20"/>
          <w:szCs w:val="20"/>
        </w:rPr>
        <w:t>- les infrastructures permettant la recharge rapide au-delà de 22 kVA bénéficient d’un taux de soutien maximum de 30% des coûts éligibles d’investissements (coûts hors taxes), avec un plafond d’aide de 12 000 euros par borne de charge,</w:t>
      </w:r>
    </w:p>
    <w:p w:rsidR="00E363B9" w:rsidRDefault="00E363B9">
      <w:pPr>
        <w:pStyle w:val="Standard"/>
        <w:jc w:val="both"/>
      </w:pPr>
      <w:r>
        <w:rPr>
          <w:rFonts w:ascii="Liberation Sans" w:hAnsi="Liberation Sans"/>
          <w:sz w:val="20"/>
          <w:szCs w:val="20"/>
          <w:u w:val="single"/>
        </w:rPr>
        <w:t>Dans le cas d’infrastructures installées dans le cadre d’un contrat de concession,</w:t>
      </w:r>
      <w:r>
        <w:rPr>
          <w:rFonts w:ascii="Liberation Sans" w:hAnsi="Liberation Sans"/>
          <w:sz w:val="20"/>
          <w:szCs w:val="20"/>
        </w:rPr>
        <w:t xml:space="preserve"> les</w:t>
      </w:r>
      <w:r>
        <w:rPr>
          <w:rFonts w:ascii="Liberation Sans" w:hAnsi="Liberation Sans"/>
          <w:sz w:val="20"/>
          <w:szCs w:val="20"/>
          <w:u w:val="single"/>
        </w:rPr>
        <w:t xml:space="preserve"> </w:t>
      </w:r>
      <w:r>
        <w:rPr>
          <w:rFonts w:ascii="Liberation Sans" w:hAnsi="Liberation Sans"/>
          <w:sz w:val="20"/>
          <w:szCs w:val="20"/>
        </w:rPr>
        <w:t>collectivités bénéficient d’un soutien forfaitaire d’un montant de : 1 250 euros par point de charge normale, 2 500 euros par point de charge accélérée, 10 000 euros par borne de charge rapide.</w:t>
      </w:r>
    </w:p>
    <w:p w:rsidR="00E363B9" w:rsidRDefault="00E363B9">
      <w:pPr>
        <w:pStyle w:val="Standard"/>
        <w:jc w:val="both"/>
      </w:pPr>
      <w:r>
        <w:rPr>
          <w:rFonts w:ascii="Liberation Sans" w:hAnsi="Liberation Sans"/>
          <w:sz w:val="20"/>
          <w:szCs w:val="20"/>
        </w:rPr>
        <w:t>Date limite de dépôt des dossiers : 31 décembre 2015</w:t>
      </w:r>
    </w:p>
    <w:p w:rsidR="00E363B9" w:rsidRDefault="00E363B9">
      <w:pPr>
        <w:pStyle w:val="Standard"/>
        <w:jc w:val="both"/>
      </w:pPr>
    </w:p>
    <w:p w:rsidR="00E363B9" w:rsidRDefault="00E363B9" w:rsidP="009A6D18">
      <w:pPr>
        <w:pStyle w:val="Standard"/>
        <w:shd w:val="clear" w:color="auto" w:fill="FFFFFF"/>
        <w:jc w:val="both"/>
      </w:pPr>
    </w:p>
    <w:p w:rsidR="00E363B9" w:rsidRDefault="00E363B9" w:rsidP="009A6D18">
      <w:pPr>
        <w:pStyle w:val="Standard"/>
        <w:jc w:val="both"/>
      </w:pPr>
    </w:p>
    <w:p w:rsidR="00E363B9" w:rsidRDefault="00E363B9">
      <w:pPr>
        <w:pStyle w:val="Standard"/>
        <w:jc w:val="both"/>
      </w:pPr>
    </w:p>
    <w:p w:rsidR="00E363B9" w:rsidRPr="00B00C06" w:rsidRDefault="00E363B9" w:rsidP="001612BD">
      <w:pPr>
        <w:pStyle w:val="Standard"/>
        <w:numPr>
          <w:ilvl w:val="1"/>
          <w:numId w:val="2"/>
        </w:numPr>
        <w:jc w:val="both"/>
        <w:rPr>
          <w:b/>
          <w:highlight w:val="lightGray"/>
        </w:rPr>
      </w:pPr>
      <w:r w:rsidRPr="00B00C06">
        <w:rPr>
          <w:b/>
          <w:highlight w:val="lightGray"/>
        </w:rPr>
        <w:t xml:space="preserve">Les fonds européens structurels et d’investissement   </w:t>
      </w:r>
      <w:r>
        <w:rPr>
          <w:b/>
          <w:highlight w:val="lightGray"/>
        </w:rPr>
        <w:t>(FESI)</w:t>
      </w:r>
    </w:p>
    <w:p w:rsidR="00E363B9" w:rsidRDefault="00E363B9" w:rsidP="004E19A8">
      <w:pPr>
        <w:pStyle w:val="Standard"/>
        <w:rPr>
          <w:rFonts w:ascii="Liberation Sans" w:hAnsi="Liberation Sans"/>
          <w:b/>
          <w:color w:val="008000"/>
          <w:sz w:val="20"/>
          <w:szCs w:val="20"/>
        </w:rPr>
      </w:pPr>
    </w:p>
    <w:p w:rsidR="00E363B9" w:rsidRDefault="00E363B9" w:rsidP="004E19A8">
      <w:pPr>
        <w:pStyle w:val="Standard"/>
        <w:rPr>
          <w:rFonts w:ascii="Liberation Sans" w:hAnsi="Liberation Sans"/>
          <w:b/>
          <w:color w:val="008000"/>
          <w:sz w:val="20"/>
          <w:szCs w:val="20"/>
        </w:rPr>
      </w:pPr>
      <w:r>
        <w:rPr>
          <w:rFonts w:ascii="Liberation Sans" w:hAnsi="Liberation Sans"/>
          <w:b/>
          <w:color w:val="008000"/>
          <w:sz w:val="20"/>
          <w:szCs w:val="20"/>
        </w:rPr>
        <w:t xml:space="preserve">Les </w:t>
      </w:r>
      <w:r w:rsidRPr="005A20D3">
        <w:rPr>
          <w:rFonts w:ascii="Liberation Sans" w:hAnsi="Liberation Sans"/>
          <w:b/>
          <w:color w:val="008000"/>
          <w:sz w:val="20"/>
          <w:szCs w:val="20"/>
        </w:rPr>
        <w:t>Fonds européens structurels et d'investissement</w:t>
      </w:r>
      <w:r>
        <w:rPr>
          <w:rFonts w:ascii="Liberation Sans" w:hAnsi="Liberation Sans"/>
          <w:b/>
          <w:color w:val="008000"/>
          <w:sz w:val="20"/>
          <w:szCs w:val="20"/>
        </w:rPr>
        <w:t>, outils de financement de la Stratégie Europe 2020</w:t>
      </w:r>
    </w:p>
    <w:p w:rsidR="00E363B9" w:rsidRDefault="00E363B9" w:rsidP="00A53FF4">
      <w:pPr>
        <w:spacing w:before="100" w:beforeAutospacing="1" w:after="100" w:afterAutospacing="1"/>
        <w:jc w:val="both"/>
        <w:rPr>
          <w:rFonts w:ascii="Liberation Sans" w:hAnsi="Liberation Sans" w:cs="Liberation Sans"/>
          <w:sz w:val="20"/>
          <w:szCs w:val="20"/>
        </w:rPr>
      </w:pPr>
      <w:r>
        <w:rPr>
          <w:rFonts w:ascii="Liberation Sans" w:hAnsi="Liberation Sans" w:cs="Liberation Sans"/>
          <w:sz w:val="20"/>
          <w:szCs w:val="20"/>
        </w:rPr>
        <w:t xml:space="preserve">Pour faire face à la crise et aux grands défis de l’Union européenne, les Etats membres ont adopté en 2010 la </w:t>
      </w:r>
      <w:r w:rsidRPr="004E19A8">
        <w:rPr>
          <w:rFonts w:ascii="Liberation Sans" w:hAnsi="Liberation Sans" w:cs="Liberation Sans"/>
          <w:b/>
          <w:sz w:val="20"/>
          <w:szCs w:val="20"/>
        </w:rPr>
        <w:t>Stratégie Europe 2020 pour une croissance intelligente, durable et inclusive</w:t>
      </w:r>
      <w:r>
        <w:rPr>
          <w:rFonts w:ascii="Liberation Sans" w:hAnsi="Liberation Sans" w:cs="Liberation Sans"/>
          <w:sz w:val="20"/>
          <w:szCs w:val="20"/>
        </w:rPr>
        <w:t>. Toutes les politiques européennes doivent participer à cette stratégie, en contribuant à atteindre les objectifs qu’elle fixe en matière de recherche et développement, d’emploi, d’éducation de lutte contre la pauvreté et d’énergie-climat. Pour ce faire, les politiques européennes sont dotées d’un budget de 960 milliards d’€ pour la période 2014-2020. La</w:t>
      </w:r>
      <w:r w:rsidRPr="00A53FF4">
        <w:rPr>
          <w:rFonts w:ascii="Liberation Sans" w:hAnsi="Liberation Sans" w:cs="Liberation Sans"/>
          <w:sz w:val="20"/>
          <w:szCs w:val="20"/>
        </w:rPr>
        <w:t xml:space="preserve"> France </w:t>
      </w:r>
      <w:r>
        <w:rPr>
          <w:rFonts w:ascii="Liberation Sans" w:hAnsi="Liberation Sans" w:cs="Liberation Sans"/>
          <w:sz w:val="20"/>
          <w:szCs w:val="20"/>
        </w:rPr>
        <w:t>bénéficie d’</w:t>
      </w:r>
      <w:r w:rsidRPr="00A53FF4">
        <w:rPr>
          <w:rFonts w:ascii="Liberation Sans" w:hAnsi="Liberation Sans" w:cs="Liberation Sans"/>
          <w:sz w:val="20"/>
          <w:szCs w:val="20"/>
        </w:rPr>
        <w:t>une e</w:t>
      </w:r>
      <w:r>
        <w:rPr>
          <w:rFonts w:ascii="Liberation Sans" w:hAnsi="Liberation Sans" w:cs="Liberation Sans"/>
          <w:sz w:val="20"/>
          <w:szCs w:val="20"/>
        </w:rPr>
        <w:t xml:space="preserve">nveloppe de </w:t>
      </w:r>
      <w:r>
        <w:rPr>
          <w:rFonts w:ascii="Liberation Sans" w:hAnsi="Liberation Sans" w:cs="Liberation Sans"/>
          <w:b/>
          <w:sz w:val="20"/>
          <w:szCs w:val="20"/>
        </w:rPr>
        <w:t>28</w:t>
      </w:r>
      <w:r w:rsidRPr="004E19A8">
        <w:rPr>
          <w:rFonts w:ascii="Liberation Sans" w:hAnsi="Liberation Sans" w:cs="Liberation Sans"/>
          <w:b/>
          <w:sz w:val="20"/>
          <w:szCs w:val="20"/>
        </w:rPr>
        <w:t xml:space="preserve"> milliards d’€,</w:t>
      </w:r>
      <w:r>
        <w:rPr>
          <w:rFonts w:ascii="Liberation Sans" w:hAnsi="Liberation Sans" w:cs="Liberation Sans"/>
          <w:sz w:val="20"/>
          <w:szCs w:val="20"/>
        </w:rPr>
        <w:t xml:space="preserve"> dont : </w:t>
      </w:r>
    </w:p>
    <w:p w:rsidR="00E363B9" w:rsidRDefault="00E363B9" w:rsidP="00D53F47">
      <w:pPr>
        <w:numPr>
          <w:ilvl w:val="0"/>
          <w:numId w:val="5"/>
        </w:numPr>
        <w:spacing w:before="100" w:beforeAutospacing="1" w:after="100" w:afterAutospacing="1"/>
        <w:jc w:val="both"/>
        <w:rPr>
          <w:rFonts w:ascii="Liberation Sans" w:hAnsi="Liberation Sans" w:cs="Liberation Sans"/>
          <w:sz w:val="20"/>
          <w:szCs w:val="20"/>
        </w:rPr>
      </w:pPr>
      <w:r>
        <w:rPr>
          <w:rFonts w:ascii="Liberation Sans" w:hAnsi="Liberation Sans" w:cs="Liberation Sans"/>
          <w:sz w:val="20"/>
          <w:szCs w:val="20"/>
        </w:rPr>
        <w:t xml:space="preserve">15, 5 milliards d’€ au titre de la </w:t>
      </w:r>
      <w:r w:rsidRPr="00842602">
        <w:rPr>
          <w:rFonts w:ascii="Liberation Sans" w:hAnsi="Liberation Sans" w:cs="Liberation Sans"/>
          <w:sz w:val="20"/>
          <w:szCs w:val="20"/>
          <w:u w:val="single"/>
        </w:rPr>
        <w:t>politique de cohésion économique, sociale et territoriale</w:t>
      </w:r>
      <w:r>
        <w:rPr>
          <w:rFonts w:ascii="Liberation Sans" w:hAnsi="Liberation Sans" w:cs="Liberation Sans"/>
          <w:sz w:val="20"/>
          <w:szCs w:val="20"/>
        </w:rPr>
        <w:t> (le fonds européen de développement régional – FEDER et le fonds social européen - FSE) : 14,4 milliards d’€ au titre des programmes français et</w:t>
      </w:r>
      <w:r w:rsidRPr="00842602">
        <w:rPr>
          <w:rFonts w:ascii="Liberation Sans" w:hAnsi="Liberation Sans" w:cs="Liberation Sans"/>
          <w:sz w:val="20"/>
          <w:szCs w:val="20"/>
        </w:rPr>
        <w:t xml:space="preserve"> </w:t>
      </w:r>
      <w:r>
        <w:rPr>
          <w:rFonts w:ascii="Liberation Sans" w:hAnsi="Liberation Sans" w:cs="Liberation Sans"/>
          <w:sz w:val="20"/>
          <w:szCs w:val="20"/>
        </w:rPr>
        <w:t>1,1 milliards d’€  au titre de la coopération territoriale européenne (CTE : programmes transfrontaliers, transnationaux et interrégionaux),</w:t>
      </w:r>
    </w:p>
    <w:p w:rsidR="00E363B9" w:rsidRDefault="00E363B9" w:rsidP="00D53F47">
      <w:pPr>
        <w:numPr>
          <w:ilvl w:val="0"/>
          <w:numId w:val="5"/>
        </w:numPr>
        <w:spacing w:before="100" w:beforeAutospacing="1" w:after="100" w:afterAutospacing="1"/>
        <w:jc w:val="both"/>
        <w:rPr>
          <w:rFonts w:ascii="Liberation Sans" w:hAnsi="Liberation Sans" w:cs="Liberation Sans"/>
          <w:sz w:val="20"/>
          <w:szCs w:val="20"/>
        </w:rPr>
      </w:pPr>
      <w:r>
        <w:rPr>
          <w:rFonts w:ascii="Liberation Sans" w:hAnsi="Liberation Sans" w:cs="Liberation Sans"/>
          <w:sz w:val="20"/>
          <w:szCs w:val="20"/>
        </w:rPr>
        <w:t xml:space="preserve">11,4 milliards d’€ au titre de la politique européenne de développement rural (FEADER), </w:t>
      </w:r>
    </w:p>
    <w:p w:rsidR="00E363B9" w:rsidRDefault="00E363B9" w:rsidP="00D53F47">
      <w:pPr>
        <w:numPr>
          <w:ilvl w:val="0"/>
          <w:numId w:val="5"/>
        </w:numPr>
        <w:spacing w:before="100" w:beforeAutospacing="1" w:after="100" w:afterAutospacing="1"/>
        <w:jc w:val="both"/>
        <w:rPr>
          <w:rFonts w:ascii="Liberation Sans" w:hAnsi="Liberation Sans" w:cs="Liberation Sans"/>
          <w:sz w:val="20"/>
          <w:szCs w:val="20"/>
        </w:rPr>
      </w:pPr>
      <w:r>
        <w:rPr>
          <w:rFonts w:ascii="Liberation Sans" w:hAnsi="Liberation Sans" w:cs="Liberation Sans"/>
          <w:sz w:val="20"/>
          <w:szCs w:val="20"/>
        </w:rPr>
        <w:t xml:space="preserve">588 millions d’€ au titre de la politique commune de la pêche et de la politique maritime intégrée (FEAMP). </w:t>
      </w:r>
    </w:p>
    <w:p w:rsidR="00E363B9" w:rsidRPr="002B44B1" w:rsidRDefault="00E363B9" w:rsidP="00A53FF4">
      <w:pPr>
        <w:spacing w:before="100" w:beforeAutospacing="1" w:after="100" w:afterAutospacing="1"/>
        <w:jc w:val="both"/>
        <w:rPr>
          <w:rFonts w:ascii="Liberation Sans" w:hAnsi="Liberation Sans" w:cs="Liberation Sans"/>
          <w:i/>
          <w:sz w:val="20"/>
          <w:szCs w:val="20"/>
        </w:rPr>
      </w:pPr>
      <w:r w:rsidRPr="00E33FB9">
        <w:rPr>
          <w:rFonts w:ascii="Liberation Sans" w:hAnsi="Liberation Sans" w:cs="Liberation Sans"/>
          <w:b/>
          <w:sz w:val="20"/>
          <w:szCs w:val="20"/>
        </w:rPr>
        <w:t>Ces sommes, désormais gérées par les région</w:t>
      </w:r>
      <w:r w:rsidRPr="00E33FB9">
        <w:rPr>
          <w:rFonts w:ascii="Liberation Sans" w:hAnsi="Liberation Sans" w:cs="Liberation Sans"/>
          <w:sz w:val="20"/>
          <w:szCs w:val="20"/>
        </w:rPr>
        <w:t>s</w:t>
      </w:r>
      <w:r w:rsidRPr="00A53FF4">
        <w:rPr>
          <w:rFonts w:ascii="Liberation Sans" w:hAnsi="Liberation Sans" w:cs="Liberation Sans"/>
          <w:sz w:val="20"/>
          <w:szCs w:val="20"/>
        </w:rPr>
        <w:t>, seront utilisées autour de 11</w:t>
      </w:r>
      <w:r>
        <w:rPr>
          <w:rFonts w:ascii="Liberation Sans" w:hAnsi="Liberation Sans" w:cs="Liberation Sans"/>
          <w:sz w:val="20"/>
          <w:szCs w:val="20"/>
        </w:rPr>
        <w:t xml:space="preserve"> objectifs thématiques</w:t>
      </w:r>
      <w:r>
        <w:rPr>
          <w:rStyle w:val="FootnoteReference"/>
          <w:rFonts w:ascii="Liberation Sans" w:hAnsi="Liberation Sans" w:cs="Liberation Sans"/>
          <w:sz w:val="20"/>
          <w:szCs w:val="20"/>
        </w:rPr>
        <w:footnoteReference w:id="1"/>
      </w:r>
      <w:r>
        <w:rPr>
          <w:rFonts w:ascii="Liberation Sans" w:hAnsi="Liberation Sans" w:cs="Liberation Sans"/>
          <w:sz w:val="20"/>
          <w:szCs w:val="20"/>
        </w:rPr>
        <w:t xml:space="preserve">, directement liés aux priorités de la Stratégie Europe 2020.  </w:t>
      </w:r>
      <w:r w:rsidRPr="005A20D3">
        <w:rPr>
          <w:rFonts w:ascii="Liberation Sans" w:hAnsi="Liberation Sans" w:cs="Liberation Sans"/>
          <w:sz w:val="20"/>
          <w:szCs w:val="20"/>
        </w:rPr>
        <w:t>L’objectif thématique n°4 est dédié à la transition énergétique, au titre de « soutien à la mutation vers une économie à faible teneur en carbone dans tous les secteurs (dont la mobilité urbaine) »</w:t>
      </w:r>
      <w:r>
        <w:rPr>
          <w:rFonts w:ascii="Liberation Sans" w:hAnsi="Liberation Sans" w:cs="Liberation Sans"/>
          <w:sz w:val="20"/>
          <w:szCs w:val="20"/>
        </w:rPr>
        <w:t xml:space="preserve"> . </w:t>
      </w:r>
    </w:p>
    <w:p w:rsidR="00E363B9" w:rsidRDefault="00E363B9" w:rsidP="00953388">
      <w:pPr>
        <w:pStyle w:val="Standard"/>
        <w:rPr>
          <w:rFonts w:ascii="Liberation Sans" w:hAnsi="Liberation Sans"/>
          <w:b/>
          <w:color w:val="008000"/>
          <w:sz w:val="20"/>
          <w:szCs w:val="20"/>
        </w:rPr>
      </w:pPr>
      <w:r>
        <w:rPr>
          <w:rFonts w:ascii="Liberation Sans" w:hAnsi="Liberation Sans"/>
          <w:b/>
          <w:color w:val="008000"/>
          <w:sz w:val="20"/>
          <w:szCs w:val="20"/>
        </w:rPr>
        <w:t>Catégories de régions dans le cadre de la politique de cohésion</w:t>
      </w:r>
    </w:p>
    <w:p w:rsidR="00E363B9" w:rsidRDefault="00E363B9" w:rsidP="00953388">
      <w:pPr>
        <w:pStyle w:val="Standard"/>
        <w:rPr>
          <w:rFonts w:ascii="Liberation Sans" w:hAnsi="Liberation Sans"/>
          <w:b/>
          <w:color w:val="008000"/>
          <w:sz w:val="20"/>
          <w:szCs w:val="20"/>
        </w:rPr>
      </w:pPr>
      <w:r>
        <w:rPr>
          <w:rFonts w:ascii="Liberation Sans" w:hAnsi="Liberation Sans"/>
          <w:b/>
          <w:color w:val="008000"/>
          <w:sz w:val="20"/>
          <w:szCs w:val="20"/>
        </w:rPr>
        <w:t xml:space="preserve"> </w:t>
      </w:r>
    </w:p>
    <w:p w:rsidR="00E363B9" w:rsidRDefault="00E363B9" w:rsidP="00D82F0C">
      <w:pPr>
        <w:pStyle w:val="Standard"/>
        <w:jc w:val="both"/>
        <w:rPr>
          <w:rFonts w:ascii="Liberation Sans" w:hAnsi="Liberation Sans"/>
          <w:color w:val="auto"/>
          <w:sz w:val="20"/>
          <w:szCs w:val="20"/>
        </w:rPr>
      </w:pPr>
      <w:r>
        <w:rPr>
          <w:rFonts w:ascii="Liberation Sans" w:hAnsi="Liberation Sans"/>
          <w:color w:val="auto"/>
          <w:sz w:val="20"/>
          <w:szCs w:val="20"/>
        </w:rPr>
        <w:t xml:space="preserve">Toutes les régions de l’UE sont classées en fonction de leur niveau de richesse, mesuré en fonction du PIB par habitant. Il existe trois catégories de régions, à chacune desquelles s’appliquent des dispositions spécifiques : </w:t>
      </w:r>
    </w:p>
    <w:p w:rsidR="00E363B9" w:rsidRDefault="00E363B9" w:rsidP="00D82F0C">
      <w:pPr>
        <w:pStyle w:val="Standard"/>
        <w:numPr>
          <w:ilvl w:val="0"/>
          <w:numId w:val="5"/>
        </w:numPr>
        <w:jc w:val="both"/>
        <w:rPr>
          <w:rFonts w:ascii="Liberation Sans" w:hAnsi="Liberation Sans"/>
          <w:color w:val="auto"/>
          <w:sz w:val="20"/>
          <w:szCs w:val="20"/>
        </w:rPr>
      </w:pPr>
      <w:r>
        <w:rPr>
          <w:rFonts w:ascii="Liberation Sans" w:hAnsi="Liberation Sans"/>
          <w:color w:val="auto"/>
          <w:sz w:val="20"/>
          <w:szCs w:val="20"/>
        </w:rPr>
        <w:t>les régions les moins développées (PIB/hab inférieur à 75% de la moyenne européenne),</w:t>
      </w:r>
    </w:p>
    <w:p w:rsidR="00E363B9" w:rsidRDefault="00E363B9" w:rsidP="00D82F0C">
      <w:pPr>
        <w:pStyle w:val="Standard"/>
        <w:numPr>
          <w:ilvl w:val="0"/>
          <w:numId w:val="5"/>
        </w:numPr>
        <w:jc w:val="both"/>
        <w:rPr>
          <w:rFonts w:ascii="Liberation Sans" w:hAnsi="Liberation Sans"/>
          <w:color w:val="auto"/>
          <w:sz w:val="20"/>
          <w:szCs w:val="20"/>
        </w:rPr>
      </w:pPr>
      <w:r>
        <w:rPr>
          <w:rFonts w:ascii="Liberation Sans" w:hAnsi="Liberation Sans"/>
          <w:color w:val="auto"/>
          <w:sz w:val="20"/>
          <w:szCs w:val="20"/>
        </w:rPr>
        <w:t>les régions en transition (PIB/hab compris entre 75% et 90% de la moyenne européenne),</w:t>
      </w:r>
    </w:p>
    <w:p w:rsidR="00E363B9" w:rsidRDefault="00E363B9" w:rsidP="00D82F0C">
      <w:pPr>
        <w:pStyle w:val="Standard"/>
        <w:numPr>
          <w:ilvl w:val="0"/>
          <w:numId w:val="5"/>
        </w:numPr>
        <w:jc w:val="both"/>
        <w:rPr>
          <w:rFonts w:ascii="Liberation Sans" w:hAnsi="Liberation Sans"/>
          <w:color w:val="auto"/>
          <w:sz w:val="20"/>
          <w:szCs w:val="20"/>
        </w:rPr>
      </w:pPr>
      <w:r>
        <w:rPr>
          <w:rFonts w:ascii="Liberation Sans" w:hAnsi="Liberation Sans"/>
          <w:color w:val="auto"/>
          <w:sz w:val="20"/>
          <w:szCs w:val="20"/>
        </w:rPr>
        <w:t>les régions les plus développées (PIB/hab supérieur à 90% de la moyenne européenne)</w:t>
      </w:r>
    </w:p>
    <w:p w:rsidR="00E363B9" w:rsidRPr="00D82F0C" w:rsidRDefault="00E363B9" w:rsidP="00D82F0C">
      <w:pPr>
        <w:pStyle w:val="Standard"/>
        <w:jc w:val="both"/>
        <w:rPr>
          <w:rFonts w:ascii="Liberation Sans" w:hAnsi="Liberation Sans"/>
          <w:color w:val="auto"/>
          <w:sz w:val="20"/>
          <w:szCs w:val="20"/>
        </w:rPr>
      </w:pPr>
      <w:r>
        <w:rPr>
          <w:rFonts w:ascii="Liberation Sans" w:hAnsi="Liberation Sans"/>
          <w:color w:val="auto"/>
          <w:sz w:val="20"/>
          <w:szCs w:val="20"/>
        </w:rPr>
        <w:t xml:space="preserve">Cf la carte des régions françaises : </w:t>
      </w:r>
      <w:hyperlink r:id="rId18" w:history="1">
        <w:r w:rsidRPr="00D82F0C">
          <w:rPr>
            <w:rStyle w:val="Hyperlink"/>
            <w:rFonts w:ascii="Liberation Sans" w:hAnsi="Liberation Sans" w:cs="Arial"/>
            <w:i/>
            <w:sz w:val="20"/>
            <w:szCs w:val="20"/>
          </w:rPr>
          <w:t>http</w:t>
        </w:r>
        <w:r>
          <w:rPr>
            <w:rStyle w:val="Hyperlink"/>
            <w:rFonts w:ascii="Liberation Sans" w:hAnsi="Liberation Sans" w:cs="Arial"/>
            <w:i/>
            <w:sz w:val="20"/>
            <w:szCs w:val="20"/>
          </w:rPr>
          <w:t> </w:t>
        </w:r>
        <w:r w:rsidRPr="00D82F0C">
          <w:rPr>
            <w:rStyle w:val="Hyperlink"/>
            <w:rFonts w:ascii="Liberation Sans" w:hAnsi="Liberation Sans" w:cs="Arial"/>
            <w:i/>
            <w:sz w:val="20"/>
            <w:szCs w:val="20"/>
          </w:rPr>
          <w:t>://ec.europa.eu/regional_policy/images/map/eligible2014/fr.pdf</w:t>
        </w:r>
      </w:hyperlink>
    </w:p>
    <w:p w:rsidR="00E363B9" w:rsidRDefault="00E363B9" w:rsidP="00D82F0C">
      <w:pPr>
        <w:pStyle w:val="Standard"/>
        <w:jc w:val="both"/>
        <w:rPr>
          <w:rFonts w:ascii="Liberation Sans" w:hAnsi="Liberation Sans"/>
          <w:color w:val="auto"/>
          <w:sz w:val="20"/>
          <w:szCs w:val="20"/>
        </w:rPr>
      </w:pPr>
    </w:p>
    <w:p w:rsidR="00E363B9" w:rsidRPr="00641483" w:rsidRDefault="00E363B9" w:rsidP="00641483">
      <w:pPr>
        <w:pStyle w:val="Standard"/>
        <w:jc w:val="both"/>
        <w:rPr>
          <w:rFonts w:ascii="Liberation Sans" w:hAnsi="Liberation Sans"/>
          <w:color w:val="auto"/>
          <w:sz w:val="20"/>
          <w:szCs w:val="20"/>
        </w:rPr>
      </w:pPr>
      <w:r>
        <w:rPr>
          <w:rFonts w:ascii="Liberation Sans" w:hAnsi="Liberation Sans"/>
          <w:color w:val="auto"/>
          <w:sz w:val="20"/>
          <w:szCs w:val="20"/>
        </w:rPr>
        <w:t xml:space="preserve">La classification d’une région dans une catégorie a des conséquences sur </w:t>
      </w:r>
      <w:r>
        <w:rPr>
          <w:rFonts w:ascii="Liberation Sans" w:hAnsi="Liberation Sans"/>
          <w:color w:val="auto"/>
          <w:sz w:val="20"/>
          <w:szCs w:val="20"/>
          <w:u w:val="single"/>
        </w:rPr>
        <w:t xml:space="preserve">les taux de cofinancement, </w:t>
      </w:r>
      <w:r>
        <w:rPr>
          <w:rFonts w:ascii="Liberation Sans" w:hAnsi="Liberation Sans"/>
          <w:color w:val="auto"/>
          <w:sz w:val="20"/>
          <w:szCs w:val="20"/>
        </w:rPr>
        <w:t>les fonds européens intervenant en complément d’autres sources (publics, privés) dans le financement des projets qu’ils soutiennent. Ainsi, dans les régions en transition, la part du FEDER dans le cofinancement de projets pourra atteindre 60 %, contre 50 % dans les régions les plus développées. Dans les régions les moins développées, le taux de cofinancement pourra s’élever jusqu’à 85%.</w:t>
      </w:r>
    </w:p>
    <w:p w:rsidR="00E363B9" w:rsidRDefault="00E363B9" w:rsidP="00953388">
      <w:pPr>
        <w:pStyle w:val="Standard"/>
        <w:rPr>
          <w:rFonts w:ascii="Liberation Sans" w:hAnsi="Liberation Sans"/>
          <w:b/>
          <w:color w:val="008000"/>
          <w:sz w:val="20"/>
          <w:szCs w:val="20"/>
        </w:rPr>
      </w:pPr>
    </w:p>
    <w:p w:rsidR="00E363B9" w:rsidRDefault="00E363B9" w:rsidP="00641483">
      <w:pPr>
        <w:pStyle w:val="Standard"/>
        <w:rPr>
          <w:rFonts w:ascii="Liberation Sans" w:hAnsi="Liberation Sans"/>
          <w:b/>
          <w:color w:val="008000"/>
          <w:sz w:val="20"/>
          <w:szCs w:val="20"/>
        </w:rPr>
      </w:pPr>
      <w:r>
        <w:rPr>
          <w:rFonts w:ascii="Liberation Sans" w:hAnsi="Liberation Sans"/>
          <w:b/>
          <w:color w:val="008000"/>
          <w:sz w:val="20"/>
          <w:szCs w:val="20"/>
        </w:rPr>
        <w:t xml:space="preserve">L’accord de partenariat entre la France et la Commission européenne définit les grandes orientations de la programmation des FESI </w:t>
      </w:r>
    </w:p>
    <w:p w:rsidR="00E363B9" w:rsidRDefault="00E363B9" w:rsidP="00641483">
      <w:pPr>
        <w:pStyle w:val="Standard"/>
        <w:rPr>
          <w:rFonts w:ascii="Liberation Sans" w:hAnsi="Liberation Sans"/>
          <w:b/>
          <w:color w:val="008000"/>
          <w:sz w:val="20"/>
          <w:szCs w:val="20"/>
        </w:rPr>
      </w:pPr>
    </w:p>
    <w:p w:rsidR="00E363B9" w:rsidRDefault="00E363B9" w:rsidP="00E33FB9">
      <w:pPr>
        <w:pStyle w:val="Standard"/>
        <w:jc w:val="both"/>
        <w:rPr>
          <w:rFonts w:ascii="Liberation Sans" w:hAnsi="Liberation Sans"/>
          <w:color w:val="auto"/>
          <w:sz w:val="20"/>
          <w:szCs w:val="20"/>
        </w:rPr>
      </w:pPr>
      <w:r>
        <w:rPr>
          <w:rFonts w:ascii="Liberation Sans" w:hAnsi="Liberation Sans"/>
          <w:color w:val="auto"/>
          <w:sz w:val="20"/>
          <w:szCs w:val="20"/>
        </w:rPr>
        <w:t xml:space="preserve">Chaque Etat membre a conclu avec la Commission européenne un Accord de partenariat pour la période 2014-2020 qui constitue un socle stratégique commun pour l’intervention des </w:t>
      </w:r>
      <w:r w:rsidRPr="005A20D3">
        <w:rPr>
          <w:rFonts w:ascii="Liberation Sans" w:hAnsi="Liberation Sans"/>
          <w:color w:val="auto"/>
          <w:sz w:val="20"/>
          <w:szCs w:val="20"/>
        </w:rPr>
        <w:t>Fonds européens structurels et d'investissement</w:t>
      </w:r>
      <w:r>
        <w:rPr>
          <w:rFonts w:ascii="Liberation Sans" w:hAnsi="Liberation Sans"/>
          <w:color w:val="auto"/>
          <w:sz w:val="20"/>
          <w:szCs w:val="20"/>
        </w:rPr>
        <w:t xml:space="preserve"> sur son territoire. En France, l’Accord de partenariat est issu d’une vaste concertation nationale, qui a associé pendant un an 350 organisations représentant l’Etat, les collectivités territoriales, les acteurs socio-économiques, la société civile, ainsi que la grand public. Il a été adopté par la Commission européenne le 08 août 2014.  </w:t>
      </w:r>
    </w:p>
    <w:p w:rsidR="00E363B9" w:rsidRPr="00E33FB9" w:rsidRDefault="00E363B9" w:rsidP="00E33FB9">
      <w:pPr>
        <w:pStyle w:val="Standard"/>
        <w:jc w:val="both"/>
        <w:rPr>
          <w:rFonts w:ascii="Liberation Sans" w:hAnsi="Liberation Sans"/>
          <w:color w:val="auto"/>
          <w:sz w:val="20"/>
          <w:szCs w:val="20"/>
          <w:lang w:val="en-GB"/>
        </w:rPr>
      </w:pPr>
      <w:r w:rsidRPr="00941600">
        <w:rPr>
          <w:rFonts w:ascii="Liberation Sans" w:hAnsi="Liberation Sans"/>
          <w:i/>
          <w:color w:val="auto"/>
          <w:sz w:val="20"/>
          <w:szCs w:val="20"/>
          <w:lang w:val="en-GB"/>
        </w:rPr>
        <w:t xml:space="preserve">Cf </w:t>
      </w:r>
      <w:hyperlink r:id="rId19" w:history="1">
        <w:r w:rsidRPr="00CD24F1">
          <w:rPr>
            <w:rStyle w:val="Hyperlink"/>
            <w:rFonts w:ascii="Liberation Sans" w:hAnsi="Liberation Sans"/>
            <w:i/>
            <w:sz w:val="20"/>
            <w:szCs w:val="20"/>
            <w:lang w:val="en-GB"/>
          </w:rPr>
          <w:t>http://www.europe-en-france.gouv.fr/L-Europe-s-engage/Accord-de-partenariat</w:t>
        </w:r>
      </w:hyperlink>
    </w:p>
    <w:p w:rsidR="00E363B9" w:rsidRPr="00941600" w:rsidRDefault="00E363B9" w:rsidP="00641483">
      <w:pPr>
        <w:pStyle w:val="Standard"/>
        <w:rPr>
          <w:rFonts w:ascii="Liberation Sans" w:hAnsi="Liberation Sans"/>
          <w:i/>
          <w:color w:val="auto"/>
          <w:sz w:val="20"/>
          <w:szCs w:val="20"/>
          <w:lang w:val="en-GB"/>
        </w:rPr>
      </w:pPr>
    </w:p>
    <w:p w:rsidR="00E363B9" w:rsidRDefault="00E363B9" w:rsidP="00641483">
      <w:pPr>
        <w:pStyle w:val="Standard"/>
        <w:rPr>
          <w:rFonts w:ascii="Liberation Sans" w:hAnsi="Liberation Sans"/>
          <w:b/>
          <w:color w:val="008000"/>
          <w:sz w:val="20"/>
          <w:szCs w:val="20"/>
        </w:rPr>
      </w:pPr>
      <w:r>
        <w:rPr>
          <w:rFonts w:ascii="Liberation Sans" w:hAnsi="Liberation Sans"/>
          <w:b/>
          <w:color w:val="008000"/>
          <w:sz w:val="20"/>
          <w:szCs w:val="20"/>
        </w:rPr>
        <w:t xml:space="preserve">Les actions soutenues par les </w:t>
      </w:r>
      <w:r w:rsidRPr="005A20D3">
        <w:rPr>
          <w:rFonts w:ascii="Liberation Sans" w:hAnsi="Liberation Sans"/>
          <w:b/>
          <w:color w:val="008000"/>
          <w:sz w:val="20"/>
          <w:szCs w:val="20"/>
        </w:rPr>
        <w:t>Fonds européens structurels et d'investissement</w:t>
      </w:r>
      <w:r>
        <w:rPr>
          <w:rFonts w:ascii="Liberation Sans" w:hAnsi="Liberation Sans"/>
          <w:b/>
          <w:color w:val="008000"/>
          <w:sz w:val="20"/>
          <w:szCs w:val="20"/>
        </w:rPr>
        <w:t xml:space="preserve"> au titre du soutien à la transition vers une économie bas carbone</w:t>
      </w:r>
    </w:p>
    <w:p w:rsidR="00E363B9" w:rsidRDefault="00E363B9" w:rsidP="00641483">
      <w:pPr>
        <w:pStyle w:val="Standard"/>
        <w:rPr>
          <w:rFonts w:ascii="Liberation Sans" w:hAnsi="Liberation Sans"/>
          <w:color w:val="008000"/>
          <w:sz w:val="20"/>
          <w:szCs w:val="20"/>
        </w:rPr>
      </w:pPr>
    </w:p>
    <w:p w:rsidR="00E363B9" w:rsidRPr="005A20D3" w:rsidRDefault="00E363B9" w:rsidP="00B02DAB">
      <w:pPr>
        <w:pStyle w:val="Standard"/>
        <w:jc w:val="both"/>
        <w:rPr>
          <w:rFonts w:ascii="Liberation Sans" w:hAnsi="Liberation Sans"/>
          <w:i/>
          <w:color w:val="auto"/>
          <w:sz w:val="20"/>
          <w:szCs w:val="20"/>
        </w:rPr>
      </w:pPr>
      <w:r>
        <w:rPr>
          <w:rFonts w:ascii="Liberation Sans" w:hAnsi="Liberation Sans"/>
          <w:color w:val="auto"/>
          <w:sz w:val="20"/>
          <w:szCs w:val="20"/>
        </w:rPr>
        <w:t>L’Accord de partenariat Français précise que les fonds seront mobilisés pour soutenir « </w:t>
      </w:r>
      <w:r w:rsidRPr="005A20D3">
        <w:rPr>
          <w:rFonts w:ascii="Liberation Sans" w:hAnsi="Liberation Sans"/>
          <w:i/>
          <w:color w:val="auto"/>
          <w:sz w:val="20"/>
          <w:szCs w:val="20"/>
        </w:rPr>
        <w:t>les actions destinées à réduire les émissions de gaz à effet de serre et de polluants de l’air dans tous les secteurs (notamment transports, bâtiment, entreprises, agriculture, forêt), pour l’ensemble des programmes […]</w:t>
      </w:r>
      <w:r>
        <w:rPr>
          <w:rFonts w:ascii="Liberation Sans" w:hAnsi="Liberation Sans"/>
          <w:color w:val="auto"/>
          <w:sz w:val="20"/>
          <w:szCs w:val="20"/>
        </w:rPr>
        <w:t xml:space="preserve">. </w:t>
      </w:r>
      <w:r w:rsidRPr="005A20D3">
        <w:rPr>
          <w:rFonts w:ascii="Liberation Sans" w:hAnsi="Liberation Sans"/>
          <w:i/>
          <w:color w:val="auto"/>
          <w:sz w:val="20"/>
          <w:szCs w:val="20"/>
        </w:rPr>
        <w:t xml:space="preserve">Pour cela, les FESI soutiendront tout autant les investissements matériels que la communication, la formation et l’animation territoriale pour accompagner les porteurs de projets et déployer les schémas régionaux et les plans climat au niveau local. D’une manière générale, </w:t>
      </w:r>
      <w:r w:rsidRPr="005A20D3">
        <w:rPr>
          <w:rFonts w:ascii="Liberation Sans" w:hAnsi="Liberation Sans"/>
          <w:i/>
          <w:color w:val="auto"/>
          <w:sz w:val="20"/>
          <w:szCs w:val="20"/>
          <w:u w:val="single"/>
        </w:rPr>
        <w:t>tout soutien devra être envisagé en bonne articulation avec les dispositifs déjà existants</w:t>
      </w:r>
      <w:r w:rsidRPr="005A20D3">
        <w:rPr>
          <w:rFonts w:ascii="Liberation Sans" w:hAnsi="Liberation Sans"/>
          <w:i/>
          <w:color w:val="auto"/>
          <w:sz w:val="20"/>
          <w:szCs w:val="20"/>
        </w:rPr>
        <w:t xml:space="preserve"> afin de ne pas créer d’effet d’aubaine.(…)</w:t>
      </w:r>
    </w:p>
    <w:p w:rsidR="00E363B9" w:rsidRPr="00F31DC1" w:rsidRDefault="00E363B9" w:rsidP="00B02DAB">
      <w:pPr>
        <w:pStyle w:val="Standard"/>
        <w:jc w:val="both"/>
        <w:rPr>
          <w:rFonts w:ascii="Liberation Sans" w:hAnsi="Liberation Sans"/>
          <w:color w:val="auto"/>
          <w:sz w:val="20"/>
          <w:szCs w:val="20"/>
        </w:rPr>
      </w:pPr>
      <w:r w:rsidRPr="005A20D3">
        <w:rPr>
          <w:rFonts w:ascii="Liberation Sans" w:hAnsi="Liberation Sans"/>
          <w:i/>
          <w:color w:val="auto"/>
          <w:sz w:val="20"/>
          <w:szCs w:val="20"/>
        </w:rPr>
        <w:t xml:space="preserve">En matière de </w:t>
      </w:r>
      <w:r w:rsidRPr="005A20D3">
        <w:rPr>
          <w:rFonts w:ascii="Liberation Sans" w:hAnsi="Liberation Sans"/>
          <w:i/>
          <w:color w:val="auto"/>
          <w:sz w:val="20"/>
          <w:szCs w:val="20"/>
          <w:u w:val="single"/>
        </w:rPr>
        <w:t>transport urbain</w:t>
      </w:r>
      <w:r w:rsidRPr="005A20D3">
        <w:rPr>
          <w:rFonts w:ascii="Liberation Sans" w:hAnsi="Liberation Sans"/>
          <w:i/>
          <w:color w:val="auto"/>
          <w:sz w:val="20"/>
          <w:szCs w:val="20"/>
        </w:rPr>
        <w:t>, la priorité sera donnée aux zones couvertes par des plans de protection de l’atmosphère (PPA). Les investissements réalisés à ce titre sont encadrés par les plans de déplacement urbain</w:t>
      </w:r>
      <w:r>
        <w:rPr>
          <w:rFonts w:ascii="Liberation Sans" w:hAnsi="Liberation Sans"/>
          <w:color w:val="auto"/>
          <w:sz w:val="20"/>
          <w:szCs w:val="20"/>
        </w:rPr>
        <w:t xml:space="preserve"> ». </w:t>
      </w:r>
    </w:p>
    <w:p w:rsidR="00E363B9" w:rsidRDefault="00E363B9" w:rsidP="00641483">
      <w:pPr>
        <w:pStyle w:val="Standard"/>
        <w:rPr>
          <w:rFonts w:ascii="Liberation Sans" w:hAnsi="Liberation Sans"/>
          <w:b/>
          <w:color w:val="008000"/>
          <w:sz w:val="20"/>
          <w:szCs w:val="20"/>
        </w:rPr>
      </w:pPr>
    </w:p>
    <w:p w:rsidR="00E363B9" w:rsidRPr="001C542A" w:rsidRDefault="00E363B9" w:rsidP="00641483">
      <w:pPr>
        <w:pStyle w:val="Standard"/>
        <w:rPr>
          <w:rFonts w:ascii="Liberation Sans" w:hAnsi="Liberation Sans"/>
          <w:color w:val="auto"/>
          <w:sz w:val="20"/>
          <w:szCs w:val="20"/>
        </w:rPr>
      </w:pPr>
      <w:r w:rsidRPr="001C542A">
        <w:rPr>
          <w:rFonts w:ascii="Liberation Sans" w:hAnsi="Liberation Sans"/>
          <w:color w:val="auto"/>
          <w:sz w:val="20"/>
          <w:szCs w:val="20"/>
        </w:rPr>
        <w:t xml:space="preserve">Le FEDER contribuera à : </w:t>
      </w:r>
    </w:p>
    <w:p w:rsidR="00E363B9" w:rsidRPr="001C542A" w:rsidRDefault="00E363B9" w:rsidP="00B02DAB">
      <w:pPr>
        <w:pStyle w:val="Standard"/>
        <w:numPr>
          <w:ilvl w:val="0"/>
          <w:numId w:val="5"/>
        </w:numPr>
        <w:jc w:val="both"/>
        <w:rPr>
          <w:rFonts w:ascii="Liberation Sans" w:hAnsi="Liberation Sans"/>
          <w:color w:val="auto"/>
          <w:sz w:val="20"/>
          <w:szCs w:val="20"/>
        </w:rPr>
      </w:pPr>
      <w:r w:rsidRPr="001C542A">
        <w:rPr>
          <w:rFonts w:ascii="Liberation Sans" w:hAnsi="Liberation Sans"/>
          <w:color w:val="auto"/>
          <w:sz w:val="20"/>
          <w:szCs w:val="20"/>
        </w:rPr>
        <w:t>réduire la consommation énergétique des bâtiments, en priorité dans le secteur résidentiel et dans le secteur tertiaire public, en incluant des mesures visant à répondre aux objectifs régionaux de lutte contre la précarité énergétique (information, sensibilisation, conseils, accompagnement des ménages et des professionnels, audits énergétiques, repérage des ménages) ; en ce qui concerne la rénovation énergétique des logements, la cohérence avec le plan de rénovation énergétique de l’habitat (PREH) est recherchée.</w:t>
      </w:r>
    </w:p>
    <w:p w:rsidR="00E363B9" w:rsidRPr="001C542A" w:rsidRDefault="00E363B9" w:rsidP="00917F14">
      <w:pPr>
        <w:pStyle w:val="Standard"/>
        <w:numPr>
          <w:ilvl w:val="0"/>
          <w:numId w:val="5"/>
        </w:numPr>
        <w:jc w:val="both"/>
        <w:rPr>
          <w:rFonts w:ascii="Liberation Sans" w:hAnsi="Liberation Sans"/>
          <w:color w:val="auto"/>
          <w:sz w:val="20"/>
          <w:szCs w:val="20"/>
        </w:rPr>
      </w:pPr>
      <w:r w:rsidRPr="001C542A">
        <w:rPr>
          <w:rFonts w:ascii="Liberation Sans" w:hAnsi="Liberation Sans"/>
          <w:color w:val="auto"/>
          <w:sz w:val="20"/>
          <w:szCs w:val="20"/>
        </w:rPr>
        <w:t>augmenter les productions issues des énergies renouvelables (thermiques, électriques, biogaz…)</w:t>
      </w:r>
    </w:p>
    <w:p w:rsidR="00E363B9" w:rsidRPr="001C542A" w:rsidRDefault="00E363B9" w:rsidP="00641483">
      <w:pPr>
        <w:pStyle w:val="Standard"/>
        <w:numPr>
          <w:ilvl w:val="0"/>
          <w:numId w:val="5"/>
        </w:numPr>
        <w:rPr>
          <w:rFonts w:ascii="Liberation Sans" w:hAnsi="Liberation Sans"/>
          <w:color w:val="auto"/>
          <w:sz w:val="20"/>
          <w:szCs w:val="20"/>
        </w:rPr>
      </w:pPr>
      <w:r w:rsidRPr="001C542A">
        <w:rPr>
          <w:rFonts w:ascii="Liberation Sans" w:hAnsi="Liberation Sans"/>
          <w:color w:val="auto"/>
          <w:sz w:val="20"/>
          <w:szCs w:val="20"/>
        </w:rPr>
        <w:t>accroître la part des investissements R&amp;D en faveur de la transition énergétique,</w:t>
      </w:r>
    </w:p>
    <w:p w:rsidR="00E363B9" w:rsidRPr="001C542A" w:rsidRDefault="00E363B9" w:rsidP="00641483">
      <w:pPr>
        <w:pStyle w:val="Standard"/>
        <w:numPr>
          <w:ilvl w:val="0"/>
          <w:numId w:val="5"/>
        </w:numPr>
        <w:rPr>
          <w:rFonts w:ascii="Liberation Sans" w:hAnsi="Liberation Sans"/>
          <w:color w:val="auto"/>
          <w:sz w:val="20"/>
          <w:szCs w:val="20"/>
        </w:rPr>
      </w:pPr>
      <w:r w:rsidRPr="001C542A">
        <w:rPr>
          <w:rFonts w:ascii="Liberation Sans" w:hAnsi="Liberation Sans"/>
          <w:color w:val="auto"/>
          <w:sz w:val="20"/>
          <w:szCs w:val="20"/>
        </w:rPr>
        <w:t>améliorer la part des énergies renouvelables et l’efficacité énergétique dans les transports (augmenter la part des modes doux ou alternatifs de transport, favoriser le report modal, favoriser le développement des véhicules électriques et hybrides rechargeables)</w:t>
      </w:r>
    </w:p>
    <w:p w:rsidR="00E363B9" w:rsidRPr="001C542A" w:rsidRDefault="00E363B9" w:rsidP="00641483">
      <w:pPr>
        <w:pStyle w:val="Standard"/>
        <w:numPr>
          <w:ilvl w:val="0"/>
          <w:numId w:val="5"/>
        </w:numPr>
        <w:rPr>
          <w:rFonts w:ascii="Liberation Sans" w:hAnsi="Liberation Sans"/>
          <w:color w:val="auto"/>
          <w:sz w:val="20"/>
          <w:szCs w:val="20"/>
        </w:rPr>
      </w:pPr>
      <w:r w:rsidRPr="001C542A">
        <w:rPr>
          <w:rFonts w:ascii="Liberation Sans" w:hAnsi="Liberation Sans"/>
          <w:color w:val="auto"/>
          <w:sz w:val="20"/>
          <w:szCs w:val="20"/>
        </w:rPr>
        <w:t>favoriser la mise en place de stratégies énergétiques à l’échelle des ilôts ou des quartiers dans le cadre des politiques d’aménagement durable,</w:t>
      </w:r>
    </w:p>
    <w:p w:rsidR="00E363B9" w:rsidRPr="001C542A" w:rsidRDefault="00E363B9" w:rsidP="00917F14">
      <w:pPr>
        <w:pStyle w:val="Standard"/>
        <w:numPr>
          <w:ilvl w:val="0"/>
          <w:numId w:val="5"/>
        </w:numPr>
        <w:jc w:val="both"/>
        <w:rPr>
          <w:rFonts w:ascii="Liberation Sans" w:hAnsi="Liberation Sans"/>
          <w:color w:val="auto"/>
          <w:sz w:val="20"/>
          <w:szCs w:val="20"/>
        </w:rPr>
      </w:pPr>
      <w:r w:rsidRPr="001C542A">
        <w:rPr>
          <w:rFonts w:ascii="Liberation Sans" w:hAnsi="Liberation Sans"/>
          <w:color w:val="auto"/>
          <w:sz w:val="20"/>
          <w:szCs w:val="20"/>
        </w:rPr>
        <w:t>renforcer des actions de sensibilisation au développement durable, en particulier en direction des jeunes.</w:t>
      </w:r>
    </w:p>
    <w:p w:rsidR="00E363B9" w:rsidRDefault="00E363B9" w:rsidP="00917F14">
      <w:pPr>
        <w:pStyle w:val="Standard"/>
        <w:jc w:val="both"/>
        <w:rPr>
          <w:rFonts w:ascii="Liberation Sans" w:hAnsi="Liberation Sans"/>
          <w:color w:val="auto"/>
          <w:sz w:val="20"/>
          <w:szCs w:val="20"/>
        </w:rPr>
      </w:pPr>
    </w:p>
    <w:p w:rsidR="00E363B9" w:rsidRDefault="00E363B9" w:rsidP="00917F14">
      <w:pPr>
        <w:pStyle w:val="Standard"/>
        <w:jc w:val="both"/>
        <w:rPr>
          <w:rFonts w:ascii="Liberation Sans" w:hAnsi="Liberation Sans"/>
          <w:color w:val="auto"/>
          <w:sz w:val="20"/>
          <w:szCs w:val="20"/>
        </w:rPr>
      </w:pPr>
      <w:r>
        <w:rPr>
          <w:rFonts w:ascii="Liberation Sans" w:hAnsi="Liberation Sans"/>
          <w:color w:val="auto"/>
          <w:sz w:val="20"/>
          <w:szCs w:val="20"/>
        </w:rPr>
        <w:t>Les régions ultrapériphériques</w:t>
      </w:r>
      <w:r>
        <w:rPr>
          <w:rStyle w:val="FootnoteReference"/>
          <w:rFonts w:ascii="Liberation Sans" w:hAnsi="Liberation Sans" w:cs="Arial"/>
          <w:color w:val="auto"/>
          <w:sz w:val="20"/>
          <w:szCs w:val="20"/>
        </w:rPr>
        <w:footnoteReference w:id="2"/>
      </w:r>
      <w:r>
        <w:rPr>
          <w:rFonts w:ascii="Liberation Sans" w:hAnsi="Liberation Sans"/>
          <w:color w:val="auto"/>
          <w:sz w:val="20"/>
          <w:szCs w:val="20"/>
        </w:rPr>
        <w:t xml:space="preserve"> développeront des stratégies d’améliorations de l’efficacité énergétique des logements en adéquation avec leurs spécificités (chauffe-eau solaires…) et des bâtiments publics et favoriseront les recherches locales dans le domaine de l’énergie (stockage et production d’énergies renouvelables). </w:t>
      </w:r>
    </w:p>
    <w:p w:rsidR="00E363B9" w:rsidRDefault="00E363B9" w:rsidP="00917F14">
      <w:pPr>
        <w:pStyle w:val="Standard"/>
        <w:jc w:val="both"/>
        <w:rPr>
          <w:rFonts w:ascii="Liberation Sans" w:hAnsi="Liberation Sans"/>
          <w:color w:val="auto"/>
          <w:sz w:val="20"/>
          <w:szCs w:val="20"/>
        </w:rPr>
      </w:pPr>
    </w:p>
    <w:p w:rsidR="00E363B9" w:rsidRDefault="00E363B9" w:rsidP="005A20D3">
      <w:pPr>
        <w:pStyle w:val="Standard"/>
        <w:jc w:val="both"/>
        <w:rPr>
          <w:rFonts w:ascii="Liberation Sans" w:hAnsi="Liberation Sans"/>
          <w:b/>
          <w:color w:val="008000"/>
          <w:sz w:val="20"/>
          <w:szCs w:val="20"/>
        </w:rPr>
      </w:pPr>
      <w:r>
        <w:rPr>
          <w:rFonts w:ascii="Liberation Sans" w:hAnsi="Liberation Sans"/>
          <w:b/>
          <w:color w:val="008000"/>
          <w:sz w:val="20"/>
          <w:szCs w:val="20"/>
        </w:rPr>
        <w:t xml:space="preserve">Les nouveaux outils proposés par les </w:t>
      </w:r>
      <w:r w:rsidRPr="005A20D3">
        <w:rPr>
          <w:rFonts w:ascii="Liberation Sans" w:hAnsi="Liberation Sans"/>
          <w:b/>
          <w:color w:val="008000"/>
          <w:sz w:val="20"/>
          <w:szCs w:val="20"/>
        </w:rPr>
        <w:t>Fonds européens structurels et d'investissement</w:t>
      </w:r>
      <w:r>
        <w:rPr>
          <w:rFonts w:ascii="Liberation Sans" w:hAnsi="Liberation Sans"/>
          <w:b/>
          <w:color w:val="008000"/>
          <w:sz w:val="20"/>
          <w:szCs w:val="20"/>
        </w:rPr>
        <w:t xml:space="preserve"> au service de stratégies territoriales</w:t>
      </w:r>
    </w:p>
    <w:p w:rsidR="00E363B9" w:rsidRDefault="00E363B9" w:rsidP="00953388">
      <w:pPr>
        <w:pStyle w:val="Standard"/>
        <w:rPr>
          <w:rFonts w:ascii="Liberation Sans" w:hAnsi="Liberation Sans"/>
          <w:b/>
          <w:color w:val="008000"/>
          <w:sz w:val="20"/>
          <w:szCs w:val="20"/>
        </w:rPr>
      </w:pPr>
    </w:p>
    <w:p w:rsidR="00E363B9" w:rsidRDefault="00E363B9" w:rsidP="00835442">
      <w:pPr>
        <w:pStyle w:val="Standard"/>
        <w:jc w:val="both"/>
        <w:rPr>
          <w:rFonts w:ascii="Liberation Sans" w:hAnsi="Liberation Sans"/>
          <w:color w:val="auto"/>
          <w:sz w:val="20"/>
          <w:szCs w:val="20"/>
        </w:rPr>
      </w:pPr>
      <w:r w:rsidRPr="007C18D2">
        <w:rPr>
          <w:rFonts w:ascii="Liberation Sans" w:hAnsi="Liberation Sans"/>
          <w:b/>
          <w:color w:val="auto"/>
          <w:sz w:val="20"/>
          <w:szCs w:val="20"/>
        </w:rPr>
        <w:t>L’approche intégrée du développement territorial</w:t>
      </w:r>
      <w:r>
        <w:rPr>
          <w:rFonts w:ascii="Liberation Sans" w:hAnsi="Liberation Sans"/>
          <w:color w:val="auto"/>
          <w:sz w:val="20"/>
          <w:szCs w:val="20"/>
        </w:rPr>
        <w:t xml:space="preserve"> telle que promue par les politiques nationales et européennes préconise d’envisager le territoire indépendamment de ses limites administratives (échelle cohérente et fonctionnelle), de faire preuve de coopération et de coordination aux différents niveaux de la collectivité et d’aborder les projets dans toutes leurs dimensions (impacts environnementaux, économiques et sociaux). Elle suppose une </w:t>
      </w:r>
      <w:r w:rsidRPr="00E33FB9">
        <w:rPr>
          <w:rFonts w:ascii="Liberation Sans" w:hAnsi="Liberation Sans"/>
          <w:color w:val="auto"/>
          <w:sz w:val="20"/>
          <w:szCs w:val="20"/>
          <w:u w:val="single"/>
        </w:rPr>
        <w:t>vision stratégique</w:t>
      </w:r>
      <w:r>
        <w:rPr>
          <w:rFonts w:ascii="Liberation Sans" w:hAnsi="Liberation Sans"/>
          <w:color w:val="auto"/>
          <w:sz w:val="20"/>
          <w:szCs w:val="20"/>
        </w:rPr>
        <w:t xml:space="preserve"> articulant les différentes échelles des territoires et se traduit par une démarche méthodologique qui nécessite la mobilisation et l’implication de l’ensemble des acteurs compétents et concernés, y compris ceux de la société civile. </w:t>
      </w:r>
    </w:p>
    <w:p w:rsidR="00E363B9" w:rsidRDefault="00E363B9" w:rsidP="00835442">
      <w:pPr>
        <w:pStyle w:val="Standard"/>
        <w:jc w:val="both"/>
        <w:rPr>
          <w:rFonts w:ascii="Liberation Sans" w:hAnsi="Liberation Sans"/>
          <w:color w:val="auto"/>
          <w:sz w:val="20"/>
          <w:szCs w:val="20"/>
        </w:rPr>
      </w:pPr>
    </w:p>
    <w:p w:rsidR="00E363B9" w:rsidRDefault="00E363B9" w:rsidP="007C18D2">
      <w:pPr>
        <w:pStyle w:val="Standard"/>
        <w:jc w:val="both"/>
        <w:rPr>
          <w:rFonts w:ascii="Liberation Sans" w:hAnsi="Liberation Sans"/>
          <w:b/>
          <w:color w:val="auto"/>
          <w:sz w:val="20"/>
          <w:szCs w:val="20"/>
        </w:rPr>
      </w:pPr>
      <w:r>
        <w:rPr>
          <w:rFonts w:ascii="Liberation Sans" w:hAnsi="Liberation Sans"/>
          <w:color w:val="auto"/>
          <w:sz w:val="20"/>
          <w:szCs w:val="20"/>
        </w:rPr>
        <w:t xml:space="preserve">L’Europe propose deux nouveaux outils pour optimiser l’accès des territoires aux fonds européens, qu’ils soient urbains, ruraux, côtiers, montagneux, transfrontaliers ou encore des zones de pêche : </w:t>
      </w:r>
      <w:r w:rsidRPr="007C18D2">
        <w:rPr>
          <w:rFonts w:ascii="Liberation Sans" w:hAnsi="Liberation Sans"/>
          <w:b/>
          <w:color w:val="auto"/>
          <w:sz w:val="20"/>
          <w:szCs w:val="20"/>
        </w:rPr>
        <w:t>le développement local mené par les acteurs locaux (DLAL) et l’investissement territorial intégré (ITI)</w:t>
      </w:r>
      <w:r>
        <w:rPr>
          <w:rFonts w:ascii="Liberation Sans" w:hAnsi="Liberation Sans"/>
          <w:b/>
          <w:color w:val="auto"/>
          <w:sz w:val="20"/>
          <w:szCs w:val="20"/>
        </w:rPr>
        <w:t xml:space="preserve">. </w:t>
      </w:r>
    </w:p>
    <w:p w:rsidR="00E363B9" w:rsidRDefault="00E363B9" w:rsidP="007C18D2">
      <w:pPr>
        <w:pStyle w:val="Standard"/>
        <w:jc w:val="both"/>
        <w:rPr>
          <w:rFonts w:ascii="Liberation Sans" w:hAnsi="Liberation Sans"/>
          <w:b/>
          <w:color w:val="auto"/>
          <w:sz w:val="20"/>
          <w:szCs w:val="20"/>
        </w:rPr>
      </w:pPr>
    </w:p>
    <w:p w:rsidR="00E363B9" w:rsidRPr="007C18D2" w:rsidRDefault="00E363B9" w:rsidP="007C18D2">
      <w:pPr>
        <w:pStyle w:val="Standard"/>
        <w:jc w:val="both"/>
        <w:rPr>
          <w:rFonts w:ascii="Liberation Sans" w:hAnsi="Liberation Sans"/>
          <w:color w:val="auto"/>
          <w:sz w:val="20"/>
          <w:szCs w:val="20"/>
        </w:rPr>
      </w:pPr>
      <w:hyperlink r:id="rId20" w:history="1">
        <w:r w:rsidRPr="009170F0">
          <w:rPr>
            <w:rStyle w:val="Hyperlink"/>
            <w:rFonts w:ascii="Liberation Sans" w:hAnsi="Liberation Sans" w:cs="Arial"/>
            <w:sz w:val="20"/>
            <w:szCs w:val="20"/>
          </w:rPr>
          <w:t>L’Accord de partenariat</w:t>
        </w:r>
      </w:hyperlink>
      <w:r w:rsidRPr="009170F0">
        <w:rPr>
          <w:rStyle w:val="FootnoteReference"/>
          <w:rFonts w:ascii="Liberation Sans" w:hAnsi="Liberation Sans" w:cs="Arial"/>
          <w:color w:val="auto"/>
          <w:sz w:val="20"/>
          <w:szCs w:val="20"/>
        </w:rPr>
        <w:footnoteReference w:id="3"/>
      </w:r>
      <w:r>
        <w:rPr>
          <w:rFonts w:ascii="Liberation Sans" w:hAnsi="Liberation Sans"/>
          <w:color w:val="auto"/>
          <w:sz w:val="20"/>
          <w:szCs w:val="20"/>
        </w:rPr>
        <w:t xml:space="preserve"> dessine des recommandations globales sur l’utilisation de ces outils, sur les territoires sur lesquels ils pourront intervenir et les fonds qu’ils pourront mobiliser. </w:t>
      </w:r>
      <w:r w:rsidRPr="00324E8A">
        <w:rPr>
          <w:rFonts w:ascii="Liberation Sans" w:hAnsi="Liberation Sans"/>
          <w:b/>
          <w:color w:val="auto"/>
          <w:sz w:val="20"/>
          <w:szCs w:val="20"/>
        </w:rPr>
        <w:t>La décision de mettre en place, au sein d’un programme, l’</w:t>
      </w:r>
      <w:r>
        <w:rPr>
          <w:rFonts w:ascii="Liberation Sans" w:hAnsi="Liberation Sans"/>
          <w:b/>
          <w:color w:val="auto"/>
          <w:sz w:val="20"/>
          <w:szCs w:val="20"/>
        </w:rPr>
        <w:t>un o</w:t>
      </w:r>
      <w:r w:rsidRPr="00324E8A">
        <w:rPr>
          <w:rFonts w:ascii="Liberation Sans" w:hAnsi="Liberation Sans"/>
          <w:b/>
          <w:color w:val="auto"/>
          <w:sz w:val="20"/>
          <w:szCs w:val="20"/>
        </w:rPr>
        <w:t>u l’autre de ces outils relève in fine de l’autorité de gestion</w:t>
      </w:r>
      <w:r>
        <w:rPr>
          <w:rFonts w:ascii="Liberation Sans" w:hAnsi="Liberation Sans"/>
          <w:color w:val="auto"/>
          <w:sz w:val="20"/>
          <w:szCs w:val="20"/>
        </w:rPr>
        <w:t xml:space="preserve"> (Conseil régional). </w:t>
      </w:r>
    </w:p>
    <w:p w:rsidR="00E363B9" w:rsidRDefault="00E363B9" w:rsidP="00953388">
      <w:pPr>
        <w:pStyle w:val="Standard"/>
        <w:rPr>
          <w:rFonts w:ascii="Liberation Sans" w:hAnsi="Liberation Sans"/>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9"/>
        <w:gridCol w:w="5567"/>
        <w:gridCol w:w="4196"/>
      </w:tblGrid>
      <w:tr w:rsidR="00E363B9" w:rsidRPr="00191D27" w:rsidTr="00B15207">
        <w:tc>
          <w:tcPr>
            <w:tcW w:w="839" w:type="dxa"/>
          </w:tcPr>
          <w:p w:rsidR="00E363B9" w:rsidRPr="001C542A" w:rsidRDefault="00E363B9" w:rsidP="00953388">
            <w:pPr>
              <w:pStyle w:val="Standard"/>
              <w:rPr>
                <w:rFonts w:ascii="Liberation Sans" w:hAnsi="Liberation Sans"/>
                <w:b/>
                <w:color w:val="auto"/>
                <w:sz w:val="16"/>
                <w:szCs w:val="16"/>
              </w:rPr>
            </w:pPr>
          </w:p>
        </w:tc>
        <w:tc>
          <w:tcPr>
            <w:tcW w:w="5569" w:type="dxa"/>
          </w:tcPr>
          <w:p w:rsidR="00E363B9" w:rsidRPr="001C542A" w:rsidRDefault="00E363B9" w:rsidP="00B15207">
            <w:pPr>
              <w:pStyle w:val="Standard"/>
              <w:jc w:val="center"/>
              <w:rPr>
                <w:rFonts w:ascii="Liberation Sans" w:hAnsi="Liberation Sans"/>
                <w:b/>
                <w:color w:val="auto"/>
                <w:sz w:val="16"/>
                <w:szCs w:val="16"/>
              </w:rPr>
            </w:pPr>
            <w:r w:rsidRPr="001C542A">
              <w:rPr>
                <w:rFonts w:ascii="Liberation Sans" w:hAnsi="Liberation Sans"/>
                <w:b/>
                <w:color w:val="auto"/>
                <w:sz w:val="16"/>
                <w:szCs w:val="16"/>
              </w:rPr>
              <w:t>Développement local mené par les acteurs locaux (DLAL)</w:t>
            </w:r>
          </w:p>
        </w:tc>
        <w:tc>
          <w:tcPr>
            <w:tcW w:w="4198" w:type="dxa"/>
          </w:tcPr>
          <w:p w:rsidR="00E363B9" w:rsidRPr="00B15207" w:rsidRDefault="00E363B9" w:rsidP="00B15207">
            <w:pPr>
              <w:pStyle w:val="Standard"/>
              <w:jc w:val="center"/>
              <w:rPr>
                <w:rFonts w:ascii="Liberation Sans" w:hAnsi="Liberation Sans"/>
                <w:color w:val="auto"/>
                <w:sz w:val="16"/>
                <w:szCs w:val="16"/>
              </w:rPr>
            </w:pPr>
            <w:r>
              <w:rPr>
                <w:rFonts w:ascii="Liberation Sans" w:hAnsi="Liberation Sans"/>
                <w:b/>
                <w:color w:val="auto"/>
                <w:sz w:val="20"/>
                <w:szCs w:val="20"/>
              </w:rPr>
              <w:t>I</w:t>
            </w:r>
            <w:r w:rsidRPr="007C18D2">
              <w:rPr>
                <w:rFonts w:ascii="Liberation Sans" w:hAnsi="Liberation Sans"/>
                <w:b/>
                <w:color w:val="auto"/>
                <w:sz w:val="20"/>
                <w:szCs w:val="20"/>
              </w:rPr>
              <w:t>nvestissement territorial intégré (ITI)</w:t>
            </w:r>
            <w:r>
              <w:rPr>
                <w:rFonts w:ascii="Liberation Sans" w:hAnsi="Liberation Sans"/>
                <w:b/>
                <w:color w:val="auto"/>
                <w:sz w:val="20"/>
                <w:szCs w:val="20"/>
              </w:rPr>
              <w:t>.</w:t>
            </w:r>
          </w:p>
        </w:tc>
      </w:tr>
      <w:tr w:rsidR="00E363B9" w:rsidRPr="00191D27" w:rsidTr="00B15207">
        <w:tc>
          <w:tcPr>
            <w:tcW w:w="839" w:type="dxa"/>
          </w:tcPr>
          <w:p w:rsidR="00E363B9" w:rsidRPr="00B15207" w:rsidRDefault="00E363B9" w:rsidP="00953388">
            <w:pPr>
              <w:pStyle w:val="Standard"/>
              <w:rPr>
                <w:rFonts w:ascii="Liberation Sans" w:hAnsi="Liberation Sans"/>
                <w:color w:val="auto"/>
                <w:sz w:val="16"/>
                <w:szCs w:val="16"/>
              </w:rPr>
            </w:pPr>
            <w:r w:rsidRPr="00B15207">
              <w:rPr>
                <w:rFonts w:ascii="Liberation Sans" w:hAnsi="Liberation Sans"/>
                <w:color w:val="auto"/>
                <w:sz w:val="16"/>
                <w:szCs w:val="16"/>
              </w:rPr>
              <w:t>Pour quoi ?</w:t>
            </w:r>
          </w:p>
        </w:tc>
        <w:tc>
          <w:tcPr>
            <w:tcW w:w="5569" w:type="dxa"/>
          </w:tcPr>
          <w:p w:rsidR="00E363B9" w:rsidRPr="00B15207" w:rsidRDefault="00E363B9" w:rsidP="00B15207">
            <w:pPr>
              <w:pStyle w:val="Standard"/>
              <w:jc w:val="both"/>
              <w:rPr>
                <w:rFonts w:ascii="Liberation Sans" w:hAnsi="Liberation Sans"/>
                <w:color w:val="auto"/>
                <w:sz w:val="16"/>
                <w:szCs w:val="16"/>
              </w:rPr>
            </w:pPr>
            <w:r w:rsidRPr="00B15207">
              <w:rPr>
                <w:rFonts w:ascii="Liberation Sans" w:hAnsi="Liberation Sans"/>
                <w:color w:val="auto"/>
                <w:sz w:val="16"/>
                <w:szCs w:val="16"/>
              </w:rPr>
              <w:t>Le DLAL renforce la capacité d’initiative des acteurs locaux via des groupes d’action locale composés de représentants des intérêts socio-économiques locaux publics et privés. Il s’applique à travers des stratégies de développement local intégrées et multisectorielles conçues à partir de l’analyse des potentiels et besoins locaux. Il mise sur des aspects innovants localement et accorde une place importante à la mise en réseau et la coopération.</w:t>
            </w:r>
          </w:p>
        </w:tc>
        <w:tc>
          <w:tcPr>
            <w:tcW w:w="4198" w:type="dxa"/>
          </w:tcPr>
          <w:p w:rsidR="00E363B9" w:rsidRPr="00B15207" w:rsidRDefault="00E363B9" w:rsidP="00B15207">
            <w:pPr>
              <w:pStyle w:val="Standard"/>
              <w:jc w:val="both"/>
              <w:rPr>
                <w:rFonts w:ascii="Liberation Sans" w:hAnsi="Liberation Sans"/>
                <w:color w:val="auto"/>
                <w:sz w:val="16"/>
                <w:szCs w:val="16"/>
              </w:rPr>
            </w:pPr>
            <w:r w:rsidRPr="00B15207">
              <w:rPr>
                <w:rFonts w:ascii="Liberation Sans" w:hAnsi="Liberation Sans"/>
                <w:color w:val="auto"/>
                <w:sz w:val="16"/>
                <w:szCs w:val="16"/>
              </w:rPr>
              <w:t xml:space="preserve">L’ITI offre la possibilité aux autorités de gestion de mettre leurs programmes opérationnels en œuvre de manière transversale et de coupler les budgets de plusieurs axes prioritaires retenus dans un ou plusieurs programmes. </w:t>
            </w:r>
          </w:p>
        </w:tc>
      </w:tr>
      <w:tr w:rsidR="00E363B9" w:rsidRPr="00191D27" w:rsidTr="00B15207">
        <w:tc>
          <w:tcPr>
            <w:tcW w:w="839" w:type="dxa"/>
          </w:tcPr>
          <w:p w:rsidR="00E363B9" w:rsidRPr="00B15207" w:rsidRDefault="00E363B9" w:rsidP="00953388">
            <w:pPr>
              <w:pStyle w:val="Standard"/>
              <w:rPr>
                <w:rFonts w:ascii="Liberation Sans" w:hAnsi="Liberation Sans"/>
                <w:color w:val="auto"/>
                <w:sz w:val="16"/>
                <w:szCs w:val="16"/>
              </w:rPr>
            </w:pPr>
            <w:r w:rsidRPr="00B15207">
              <w:rPr>
                <w:rFonts w:ascii="Liberation Sans" w:hAnsi="Liberation Sans"/>
                <w:color w:val="auto"/>
                <w:sz w:val="16"/>
                <w:szCs w:val="16"/>
              </w:rPr>
              <w:t>Pour qui ?</w:t>
            </w:r>
          </w:p>
        </w:tc>
        <w:tc>
          <w:tcPr>
            <w:tcW w:w="5569" w:type="dxa"/>
          </w:tcPr>
          <w:p w:rsidR="00E363B9" w:rsidRPr="00B15207" w:rsidRDefault="00E363B9" w:rsidP="00B15207">
            <w:pPr>
              <w:pStyle w:val="Standard"/>
              <w:jc w:val="both"/>
              <w:rPr>
                <w:rFonts w:ascii="Liberation Sans" w:hAnsi="Liberation Sans"/>
                <w:color w:val="auto"/>
                <w:sz w:val="16"/>
                <w:szCs w:val="16"/>
              </w:rPr>
            </w:pPr>
            <w:r w:rsidRPr="00B15207">
              <w:rPr>
                <w:rFonts w:ascii="Liberation Sans" w:hAnsi="Liberation Sans"/>
                <w:color w:val="auto"/>
                <w:sz w:val="16"/>
                <w:szCs w:val="16"/>
              </w:rPr>
              <w:t>Il sera essentiellement mis en œuvre, via les fonds FEADER et FEAMP, pour les territoires ruraux, littoraux, périurbains et mixtes (urbain-rural, littoral-rural, littoral-urbain…). La population du territoire couvert doit être comprise entre 10 000 et 150 000 habitants (dérogations possibles).</w:t>
            </w:r>
          </w:p>
        </w:tc>
        <w:tc>
          <w:tcPr>
            <w:tcW w:w="4198" w:type="dxa"/>
          </w:tcPr>
          <w:p w:rsidR="00E363B9" w:rsidRPr="00B15207" w:rsidRDefault="00E363B9" w:rsidP="00B15207">
            <w:pPr>
              <w:pStyle w:val="Standard"/>
              <w:jc w:val="both"/>
              <w:rPr>
                <w:rFonts w:ascii="Liberation Sans" w:hAnsi="Liberation Sans"/>
                <w:color w:val="auto"/>
                <w:sz w:val="16"/>
                <w:szCs w:val="16"/>
              </w:rPr>
            </w:pPr>
            <w:r w:rsidRPr="00B15207">
              <w:rPr>
                <w:rFonts w:ascii="Liberation Sans" w:hAnsi="Liberation Sans"/>
                <w:color w:val="auto"/>
                <w:sz w:val="16"/>
                <w:szCs w:val="16"/>
              </w:rPr>
              <w:t>Les agglomérations, métropole et territoires urbains ; les quartiers prioritaires de la politique de la ville ; les pays et les Parcs naturels régionaux.</w:t>
            </w:r>
          </w:p>
        </w:tc>
      </w:tr>
      <w:tr w:rsidR="00E363B9" w:rsidRPr="00191D27" w:rsidTr="00B15207">
        <w:tc>
          <w:tcPr>
            <w:tcW w:w="839" w:type="dxa"/>
          </w:tcPr>
          <w:p w:rsidR="00E363B9" w:rsidRPr="00B15207" w:rsidRDefault="00E363B9" w:rsidP="00953388">
            <w:pPr>
              <w:pStyle w:val="Standard"/>
              <w:rPr>
                <w:rFonts w:ascii="Liberation Sans" w:hAnsi="Liberation Sans"/>
                <w:color w:val="auto"/>
                <w:sz w:val="16"/>
                <w:szCs w:val="16"/>
              </w:rPr>
            </w:pPr>
            <w:r w:rsidRPr="00B15207">
              <w:rPr>
                <w:rFonts w:ascii="Liberation Sans" w:hAnsi="Liberation Sans"/>
                <w:color w:val="auto"/>
                <w:sz w:val="16"/>
                <w:szCs w:val="16"/>
              </w:rPr>
              <w:t>Bénéfices</w:t>
            </w:r>
          </w:p>
        </w:tc>
        <w:tc>
          <w:tcPr>
            <w:tcW w:w="5569" w:type="dxa"/>
          </w:tcPr>
          <w:p w:rsidR="00E363B9" w:rsidRPr="00B15207" w:rsidRDefault="00E363B9" w:rsidP="00953388">
            <w:pPr>
              <w:pStyle w:val="Standard"/>
              <w:rPr>
                <w:rFonts w:ascii="Liberation Sans" w:hAnsi="Liberation Sans"/>
                <w:color w:val="auto"/>
                <w:sz w:val="16"/>
                <w:szCs w:val="16"/>
              </w:rPr>
            </w:pPr>
            <w:r w:rsidRPr="00B15207">
              <w:rPr>
                <w:rFonts w:ascii="Liberation Sans" w:hAnsi="Liberation Sans"/>
                <w:color w:val="auto"/>
                <w:sz w:val="16"/>
                <w:szCs w:val="16"/>
              </w:rPr>
              <w:t>Le développement des capacités locales, la stimulation de l’innovation, l’esprit d’entreprise des acteurs d’un territoire, le sentiment d’appartenance et de responsabilité, le soutien à la gouvernance multi-niveaux.</w:t>
            </w:r>
          </w:p>
        </w:tc>
        <w:tc>
          <w:tcPr>
            <w:tcW w:w="4198" w:type="dxa"/>
          </w:tcPr>
          <w:p w:rsidR="00E363B9" w:rsidRPr="00B15207" w:rsidRDefault="00E363B9" w:rsidP="00953388">
            <w:pPr>
              <w:pStyle w:val="Standard"/>
              <w:rPr>
                <w:rFonts w:ascii="Liberation Sans" w:hAnsi="Liberation Sans"/>
                <w:color w:val="auto"/>
                <w:sz w:val="16"/>
                <w:szCs w:val="16"/>
              </w:rPr>
            </w:pPr>
            <w:r w:rsidRPr="00B15207">
              <w:rPr>
                <w:rFonts w:ascii="Liberation Sans" w:hAnsi="Liberation Sans"/>
                <w:color w:val="auto"/>
                <w:sz w:val="16"/>
                <w:szCs w:val="16"/>
              </w:rPr>
              <w:t>Garantir une stratégie intégrée sur un territoire donné, tout en facilitant le déploiement d’actions cohérentes grâce à un financement spécifique alloué.</w:t>
            </w:r>
          </w:p>
        </w:tc>
      </w:tr>
    </w:tbl>
    <w:p w:rsidR="00E363B9" w:rsidRDefault="00E363B9" w:rsidP="00953388">
      <w:pPr>
        <w:pStyle w:val="Standard"/>
        <w:rPr>
          <w:rFonts w:ascii="Liberation Sans" w:hAnsi="Liberation Sans"/>
          <w:color w:val="auto"/>
          <w:sz w:val="20"/>
          <w:szCs w:val="20"/>
        </w:rPr>
      </w:pPr>
    </w:p>
    <w:p w:rsidR="00E363B9" w:rsidRDefault="00E363B9" w:rsidP="009170F0">
      <w:pPr>
        <w:pStyle w:val="Standard"/>
        <w:jc w:val="both"/>
        <w:rPr>
          <w:rFonts w:ascii="Liberation Sans" w:hAnsi="Liberation Sans"/>
          <w:color w:val="auto"/>
          <w:sz w:val="20"/>
          <w:szCs w:val="20"/>
        </w:rPr>
      </w:pPr>
      <w:r>
        <w:rPr>
          <w:rFonts w:ascii="Liberation Sans" w:hAnsi="Liberation Sans"/>
          <w:color w:val="auto"/>
          <w:sz w:val="20"/>
          <w:szCs w:val="20"/>
        </w:rPr>
        <w:t xml:space="preserve">S’agissant des </w:t>
      </w:r>
      <w:r w:rsidRPr="009170F0">
        <w:rPr>
          <w:rFonts w:ascii="Liberation Sans" w:hAnsi="Liberation Sans"/>
          <w:color w:val="auto"/>
          <w:sz w:val="20"/>
          <w:szCs w:val="20"/>
          <w:u w:val="single"/>
        </w:rPr>
        <w:t>territoires urbains</w:t>
      </w:r>
      <w:r>
        <w:rPr>
          <w:rFonts w:ascii="Liberation Sans" w:hAnsi="Liberation Sans"/>
          <w:color w:val="auto"/>
          <w:sz w:val="20"/>
          <w:szCs w:val="20"/>
        </w:rPr>
        <w:t xml:space="preserve">, </w:t>
      </w:r>
      <w:r w:rsidRPr="00F10EA7">
        <w:rPr>
          <w:rFonts w:ascii="Liberation Sans" w:hAnsi="Liberation Sans"/>
          <w:b/>
          <w:color w:val="auto"/>
          <w:sz w:val="20"/>
          <w:szCs w:val="20"/>
        </w:rPr>
        <w:t>au-delà de l’ITI, les stratégies urbaines intégrées peuvent aussi être soutenues à l’aide d’un axe prioritaire spécifique</w:t>
      </w:r>
      <w:r>
        <w:rPr>
          <w:rFonts w:ascii="Liberation Sans" w:hAnsi="Liberation Sans"/>
          <w:b/>
          <w:color w:val="auto"/>
          <w:sz w:val="20"/>
          <w:szCs w:val="20"/>
        </w:rPr>
        <w:t xml:space="preserve"> du programme opérationnel régional. </w:t>
      </w:r>
    </w:p>
    <w:p w:rsidR="00E363B9" w:rsidRDefault="00E363B9" w:rsidP="00953388">
      <w:pPr>
        <w:pStyle w:val="Standard"/>
        <w:rPr>
          <w:rFonts w:ascii="Liberation Sans" w:hAnsi="Liberation Sans"/>
          <w:color w:val="auto"/>
          <w:sz w:val="20"/>
          <w:szCs w:val="20"/>
        </w:rPr>
      </w:pPr>
    </w:p>
    <w:p w:rsidR="00E363B9" w:rsidRDefault="00E363B9" w:rsidP="00F10EA7">
      <w:pPr>
        <w:pStyle w:val="Standard"/>
        <w:jc w:val="both"/>
        <w:rPr>
          <w:rFonts w:ascii="Liberation Sans" w:hAnsi="Liberation Sans"/>
          <w:color w:val="auto"/>
          <w:sz w:val="20"/>
          <w:szCs w:val="20"/>
        </w:rPr>
      </w:pPr>
      <w:r>
        <w:rPr>
          <w:rFonts w:ascii="Liberation Sans" w:hAnsi="Liberation Sans"/>
          <w:color w:val="auto"/>
          <w:sz w:val="20"/>
          <w:szCs w:val="20"/>
        </w:rPr>
        <w:t xml:space="preserve">En octobre 2014, parmi les régions métropolitaines, </w:t>
      </w:r>
      <w:r w:rsidRPr="00F35E95">
        <w:rPr>
          <w:rFonts w:ascii="Liberation Sans" w:hAnsi="Liberation Sans"/>
          <w:b/>
          <w:color w:val="auto"/>
          <w:sz w:val="20"/>
          <w:szCs w:val="20"/>
        </w:rPr>
        <w:t>onze avaient choisi l’ITI et onze l’axe urbain</w:t>
      </w:r>
      <w:r>
        <w:rPr>
          <w:rFonts w:ascii="Liberation Sans" w:hAnsi="Liberation Sans"/>
          <w:color w:val="auto"/>
          <w:sz w:val="20"/>
          <w:szCs w:val="20"/>
        </w:rPr>
        <w:t>. Les régions d’Outre-mer avaient toutes optées pour les ITI urbains. Plus des deux tiers des programmes opérationnels prévoient la mise en œuvre de l’objectif thématique 4 (soutien à la transition énergétique) dans ces stratégies territoriales intégrées, en synergie avec d’autres objectifs thématiques.</w:t>
      </w:r>
    </w:p>
    <w:p w:rsidR="00E363B9" w:rsidRDefault="00E363B9" w:rsidP="00953388">
      <w:pPr>
        <w:pStyle w:val="Standard"/>
        <w:rPr>
          <w:rFonts w:ascii="Liberation Sans" w:hAnsi="Liberation Sans"/>
          <w:color w:val="auto"/>
          <w:sz w:val="20"/>
          <w:szCs w:val="20"/>
        </w:rPr>
      </w:pPr>
    </w:p>
    <w:p w:rsidR="00E363B9" w:rsidRPr="00D27DD9" w:rsidRDefault="00E363B9" w:rsidP="001F5D30">
      <w:pPr>
        <w:pStyle w:val="Standard"/>
        <w:jc w:val="both"/>
        <w:rPr>
          <w:rFonts w:ascii="Liberation Sans" w:hAnsi="Liberation Sans"/>
          <w:i/>
          <w:color w:val="auto"/>
          <w:sz w:val="20"/>
          <w:szCs w:val="20"/>
          <w:lang w:val="en-GB"/>
        </w:rPr>
      </w:pPr>
      <w:r>
        <w:rPr>
          <w:rFonts w:ascii="Liberation Sans" w:hAnsi="Liberation Sans"/>
          <w:color w:val="auto"/>
          <w:sz w:val="20"/>
          <w:szCs w:val="20"/>
        </w:rPr>
        <w:t xml:space="preserve">A la suite de conventions-cadres entre le ministère délégué à la Ville et les associations d’élus, 10 % en moyenne nationale des enveloppes FEDER-FSE gérées par les Conseils régionaux seront mobilisés prioritairement sur les </w:t>
      </w:r>
      <w:r w:rsidRPr="00F41DCE">
        <w:rPr>
          <w:rFonts w:ascii="Liberation Sans" w:hAnsi="Liberation Sans"/>
          <w:color w:val="auto"/>
          <w:sz w:val="20"/>
          <w:szCs w:val="20"/>
          <w:u w:val="single"/>
        </w:rPr>
        <w:t>quartiers prioritaires de la politique de la ville 2015-2020</w:t>
      </w:r>
      <w:r w:rsidRPr="00F41DCE">
        <w:rPr>
          <w:rFonts w:ascii="Liberation Sans" w:hAnsi="Liberation Sans"/>
          <w:b/>
          <w:color w:val="auto"/>
          <w:sz w:val="20"/>
          <w:szCs w:val="20"/>
        </w:rPr>
        <w:t>,</w:t>
      </w:r>
      <w:r>
        <w:rPr>
          <w:rFonts w:ascii="Liberation Sans" w:hAnsi="Liberation Sans"/>
          <w:color w:val="auto"/>
          <w:sz w:val="20"/>
          <w:szCs w:val="20"/>
        </w:rPr>
        <w:t xml:space="preserve"> dans le cadre de stratégies urbaines intégrées et des approches de développement urbain durable, via un ITI ou un axe urbain intégré des PO régionaux. </w:t>
      </w:r>
      <w:r w:rsidRPr="00D27DD9">
        <w:rPr>
          <w:rFonts w:ascii="Liberation Sans" w:hAnsi="Liberation Sans"/>
          <w:color w:val="auto"/>
          <w:sz w:val="20"/>
          <w:szCs w:val="20"/>
          <w:lang w:val="en-GB"/>
        </w:rPr>
        <w:t xml:space="preserve">Cf </w:t>
      </w:r>
      <w:hyperlink r:id="rId21" w:history="1">
        <w:r w:rsidRPr="00D27DD9">
          <w:rPr>
            <w:rStyle w:val="Hyperlink"/>
            <w:rFonts w:ascii="Liberation Sans" w:hAnsi="Liberation Sans"/>
            <w:i/>
            <w:sz w:val="20"/>
            <w:szCs w:val="20"/>
            <w:lang w:val="en-GB"/>
          </w:rPr>
          <w:t>http://www.ville.gouv.fr/IMG/pdf/cget_decv_rapport_conclusif_vdef.pdf</w:t>
        </w:r>
      </w:hyperlink>
    </w:p>
    <w:p w:rsidR="00E363B9" w:rsidRPr="00D27DD9" w:rsidRDefault="00E363B9" w:rsidP="001F5D30">
      <w:pPr>
        <w:pStyle w:val="Standard"/>
        <w:jc w:val="both"/>
        <w:rPr>
          <w:rFonts w:ascii="Liberation Sans" w:hAnsi="Liberation Sans"/>
          <w:color w:val="auto"/>
          <w:sz w:val="20"/>
          <w:szCs w:val="20"/>
          <w:lang w:val="en-GB"/>
        </w:rPr>
      </w:pPr>
    </w:p>
    <w:p w:rsidR="00E363B9" w:rsidRDefault="00E363B9" w:rsidP="001F5D30">
      <w:pPr>
        <w:pStyle w:val="Standard"/>
        <w:jc w:val="both"/>
        <w:rPr>
          <w:rFonts w:ascii="Liberation Sans" w:hAnsi="Liberation Sans"/>
          <w:color w:val="auto"/>
          <w:sz w:val="20"/>
          <w:szCs w:val="20"/>
        </w:rPr>
      </w:pPr>
      <w:r w:rsidRPr="00F41DCE">
        <w:rPr>
          <w:rFonts w:ascii="Liberation Sans" w:hAnsi="Liberation Sans"/>
          <w:color w:val="auto"/>
          <w:sz w:val="20"/>
          <w:szCs w:val="20"/>
          <w:u w:val="single"/>
        </w:rPr>
        <w:t>A l’échelle des agglomérations</w:t>
      </w:r>
      <w:r>
        <w:rPr>
          <w:rFonts w:ascii="Liberation Sans" w:hAnsi="Liberation Sans"/>
          <w:color w:val="auto"/>
          <w:sz w:val="20"/>
          <w:szCs w:val="20"/>
        </w:rPr>
        <w:t xml:space="preserve">, en cohérence avec les démarches mises en place au niveau national (démarches EcoCité/Villes de demain, labellisation EcoQuartier, l’appel à projets « projets territoriaux intégrés », programme de revitalisation des centres bourgs…), les actions intégrées porteront sur les quatre enjeux majeurs suivants : </w:t>
      </w:r>
      <w:r w:rsidRPr="00F41DCE">
        <w:rPr>
          <w:rFonts w:ascii="Liberation Sans" w:hAnsi="Liberation Sans"/>
          <w:b/>
          <w:color w:val="auto"/>
          <w:sz w:val="20"/>
          <w:szCs w:val="20"/>
        </w:rPr>
        <w:t>stratégies foncières et mise en valeur des espaces, connexions et mobilités, cohésion sociale, qualité de vie et attractivité du territoire, environnement et ressources</w:t>
      </w:r>
      <w:r>
        <w:rPr>
          <w:rFonts w:ascii="Liberation Sans" w:hAnsi="Liberation Sans"/>
          <w:color w:val="auto"/>
          <w:sz w:val="20"/>
          <w:szCs w:val="20"/>
        </w:rPr>
        <w:t xml:space="preserve"> (réduction des consommations d’énergie, d’eau, de matières premières, et les émissions de déchets, de polluants atmosphériques et de CO²; anticipation des changements climatiques, place à la nature en ville, prévention des risques naturels et industriels.)</w:t>
      </w:r>
    </w:p>
    <w:p w:rsidR="00E363B9" w:rsidRPr="00641483" w:rsidRDefault="00E363B9" w:rsidP="00953388">
      <w:pPr>
        <w:pStyle w:val="Standard"/>
        <w:rPr>
          <w:rFonts w:ascii="Liberation Sans" w:hAnsi="Liberation Sans"/>
          <w:b/>
          <w:color w:val="auto"/>
          <w:sz w:val="20"/>
          <w:szCs w:val="20"/>
        </w:rPr>
      </w:pPr>
    </w:p>
    <w:p w:rsidR="00E363B9" w:rsidRDefault="00E363B9" w:rsidP="00953388">
      <w:pPr>
        <w:pStyle w:val="Standard"/>
        <w:rPr>
          <w:rFonts w:ascii="Liberation Sans" w:hAnsi="Liberation Sans"/>
          <w:b/>
          <w:color w:val="008000"/>
          <w:sz w:val="20"/>
          <w:szCs w:val="20"/>
        </w:rPr>
      </w:pPr>
      <w:r>
        <w:rPr>
          <w:rFonts w:ascii="Liberation Sans" w:hAnsi="Liberation Sans"/>
          <w:b/>
          <w:color w:val="008000"/>
          <w:sz w:val="20"/>
          <w:szCs w:val="20"/>
        </w:rPr>
        <w:t>Les conseils régionaux autorités de gestion des programmes</w:t>
      </w:r>
    </w:p>
    <w:p w:rsidR="00E363B9" w:rsidRDefault="00E363B9" w:rsidP="00953388">
      <w:pPr>
        <w:pStyle w:val="Standard"/>
        <w:rPr>
          <w:rFonts w:ascii="Liberation Sans" w:hAnsi="Liberation Sans"/>
          <w:b/>
          <w:color w:val="008000"/>
          <w:sz w:val="20"/>
          <w:szCs w:val="20"/>
        </w:rPr>
      </w:pPr>
    </w:p>
    <w:p w:rsidR="00E363B9" w:rsidRPr="001C542A" w:rsidRDefault="00E363B9" w:rsidP="00B93ACA">
      <w:pPr>
        <w:pStyle w:val="Standard"/>
        <w:jc w:val="both"/>
        <w:rPr>
          <w:rFonts w:ascii="Liberation Sans" w:hAnsi="Liberation Sans"/>
          <w:color w:val="auto"/>
          <w:sz w:val="20"/>
          <w:szCs w:val="20"/>
        </w:rPr>
      </w:pPr>
      <w:r>
        <w:rPr>
          <w:rFonts w:ascii="Liberation Sans" w:hAnsi="Liberation Sans"/>
          <w:color w:val="auto"/>
          <w:sz w:val="20"/>
          <w:szCs w:val="20"/>
        </w:rPr>
        <w:t xml:space="preserve">Chaque programme européen est géré par « une autorité de gestion ». Il s’agit d’une « autorité publique ou un organisme public ou privé national, régional ou local désigné par l’Etat membre ». </w:t>
      </w:r>
      <w:r w:rsidRPr="001C542A">
        <w:rPr>
          <w:rFonts w:ascii="Liberation Sans" w:hAnsi="Liberation Sans"/>
          <w:color w:val="auto"/>
          <w:sz w:val="20"/>
          <w:szCs w:val="20"/>
        </w:rPr>
        <w:t xml:space="preserve">L’autorité de gestion est responsable de la rédaction du programme (dans le respect des dispositions de l’Accord de partenariat) et, une fois le programme en marche, elle sélectionne les porteurs de projets et gère l’octroi et le suivi des fonds accordés. </w:t>
      </w:r>
    </w:p>
    <w:p w:rsidR="00E363B9" w:rsidRPr="001C542A" w:rsidRDefault="00E363B9" w:rsidP="00953388">
      <w:pPr>
        <w:pStyle w:val="Standard"/>
        <w:rPr>
          <w:rFonts w:ascii="Liberation Sans" w:hAnsi="Liberation Sans"/>
          <w:color w:val="008000"/>
          <w:sz w:val="20"/>
          <w:szCs w:val="20"/>
        </w:rPr>
      </w:pPr>
    </w:p>
    <w:p w:rsidR="00E363B9" w:rsidRDefault="00E363B9" w:rsidP="00FB55AF">
      <w:pPr>
        <w:pStyle w:val="Standard"/>
        <w:jc w:val="both"/>
        <w:rPr>
          <w:rFonts w:ascii="Liberation Sans" w:hAnsi="Liberation Sans"/>
          <w:b/>
          <w:color w:val="auto"/>
          <w:sz w:val="20"/>
          <w:szCs w:val="20"/>
        </w:rPr>
      </w:pPr>
      <w:r>
        <w:rPr>
          <w:rFonts w:ascii="Liberation Sans" w:hAnsi="Liberation Sans"/>
          <w:color w:val="auto"/>
          <w:sz w:val="20"/>
          <w:szCs w:val="20"/>
        </w:rPr>
        <w:t xml:space="preserve">Dans la loi de modernisation de l’action publique territoriale et d’affirmation des métropoles du 27 janvier 2014, </w:t>
      </w:r>
      <w:r w:rsidRPr="00FB55AF">
        <w:rPr>
          <w:rFonts w:ascii="Liberation Sans" w:hAnsi="Liberation Sans"/>
          <w:b/>
          <w:color w:val="auto"/>
          <w:sz w:val="20"/>
          <w:szCs w:val="20"/>
        </w:rPr>
        <w:t xml:space="preserve">l’Etat </w:t>
      </w:r>
      <w:r>
        <w:rPr>
          <w:rFonts w:ascii="Liberation Sans" w:hAnsi="Liberation Sans"/>
          <w:b/>
          <w:color w:val="auto"/>
          <w:sz w:val="20"/>
          <w:szCs w:val="20"/>
        </w:rPr>
        <w:t>a confié</w:t>
      </w:r>
      <w:r w:rsidRPr="00FB55AF">
        <w:rPr>
          <w:rFonts w:ascii="Liberation Sans" w:hAnsi="Liberation Sans"/>
          <w:b/>
          <w:color w:val="auto"/>
          <w:sz w:val="20"/>
          <w:szCs w:val="20"/>
        </w:rPr>
        <w:t xml:space="preserve"> aux conseils régionaux la gestion de la majorité des fonds européens en France.</w:t>
      </w:r>
      <w:r>
        <w:rPr>
          <w:rFonts w:ascii="Liberation Sans" w:hAnsi="Liberation Sans"/>
          <w:color w:val="auto"/>
          <w:sz w:val="20"/>
          <w:szCs w:val="20"/>
        </w:rPr>
        <w:t xml:space="preserve"> A ce titre, chaque région française dispose d’un programme FEDER/FSE</w:t>
      </w:r>
      <w:r>
        <w:rPr>
          <w:rStyle w:val="FootnoteReference"/>
          <w:rFonts w:ascii="Liberation Sans" w:hAnsi="Liberation Sans" w:cs="Arial"/>
          <w:color w:val="auto"/>
          <w:sz w:val="20"/>
          <w:szCs w:val="20"/>
        </w:rPr>
        <w:footnoteReference w:id="4"/>
      </w:r>
      <w:r>
        <w:rPr>
          <w:rFonts w:ascii="Liberation Sans" w:hAnsi="Liberation Sans"/>
          <w:color w:val="auto"/>
          <w:sz w:val="20"/>
          <w:szCs w:val="20"/>
        </w:rPr>
        <w:t xml:space="preserve"> : ce sont les </w:t>
      </w:r>
      <w:r w:rsidRPr="001C542A">
        <w:rPr>
          <w:rFonts w:ascii="Liberation Sans" w:hAnsi="Liberation Sans"/>
          <w:color w:val="auto"/>
          <w:sz w:val="20"/>
          <w:szCs w:val="20"/>
        </w:rPr>
        <w:t>programmes opérationnels (PO)</w:t>
      </w:r>
      <w:r w:rsidRPr="001C542A">
        <w:rPr>
          <w:rStyle w:val="FootnoteReference"/>
          <w:rFonts w:ascii="Liberation Sans" w:hAnsi="Liberation Sans" w:cs="Arial"/>
          <w:color w:val="auto"/>
          <w:sz w:val="20"/>
          <w:szCs w:val="20"/>
        </w:rPr>
        <w:footnoteReference w:id="5"/>
      </w:r>
      <w:r w:rsidRPr="001C542A">
        <w:rPr>
          <w:rFonts w:ascii="Liberation Sans" w:hAnsi="Liberation Sans"/>
          <w:color w:val="auto"/>
          <w:sz w:val="20"/>
          <w:szCs w:val="20"/>
        </w:rPr>
        <w:t>.</w:t>
      </w:r>
      <w:r>
        <w:rPr>
          <w:rFonts w:ascii="Liberation Sans" w:hAnsi="Liberation Sans"/>
          <w:b/>
          <w:color w:val="auto"/>
          <w:sz w:val="20"/>
          <w:szCs w:val="20"/>
        </w:rPr>
        <w:t xml:space="preserve"> </w:t>
      </w:r>
    </w:p>
    <w:p w:rsidR="00E363B9" w:rsidRDefault="00E363B9" w:rsidP="00FB55AF">
      <w:pPr>
        <w:pStyle w:val="Standard"/>
        <w:jc w:val="both"/>
        <w:rPr>
          <w:rFonts w:ascii="Liberation Sans" w:hAnsi="Liberation Sans"/>
          <w:b/>
          <w:color w:val="auto"/>
          <w:sz w:val="20"/>
          <w:szCs w:val="20"/>
        </w:rPr>
      </w:pPr>
    </w:p>
    <w:p w:rsidR="00E363B9" w:rsidRDefault="00E363B9" w:rsidP="00FB55AF">
      <w:pPr>
        <w:pStyle w:val="Standard"/>
        <w:jc w:val="both"/>
        <w:rPr>
          <w:rFonts w:ascii="Liberation Sans" w:hAnsi="Liberation Sans"/>
          <w:color w:val="auto"/>
          <w:sz w:val="20"/>
          <w:szCs w:val="20"/>
        </w:rPr>
      </w:pPr>
      <w:r>
        <w:rPr>
          <w:rFonts w:ascii="Liberation Sans" w:hAnsi="Liberation Sans"/>
          <w:color w:val="auto"/>
          <w:sz w:val="20"/>
          <w:szCs w:val="20"/>
        </w:rPr>
        <w:t>Les Conseils régionaux sont également autorités de gestion des programmes plurirégionaux pour les massifs de montagne et les bassins fluviaux et des programmes de coopération territoriale européenne.</w:t>
      </w:r>
    </w:p>
    <w:p w:rsidR="00E363B9" w:rsidRDefault="00E363B9" w:rsidP="00FB55AF">
      <w:pPr>
        <w:pStyle w:val="Standard"/>
        <w:jc w:val="both"/>
        <w:rPr>
          <w:rFonts w:ascii="Liberation Sans" w:hAnsi="Liberation Sans"/>
          <w:color w:val="auto"/>
          <w:sz w:val="20"/>
          <w:szCs w:val="20"/>
        </w:rPr>
      </w:pPr>
    </w:p>
    <w:p w:rsidR="00E363B9" w:rsidRDefault="00E363B9" w:rsidP="00FB55AF">
      <w:pPr>
        <w:pStyle w:val="Standard"/>
        <w:jc w:val="both"/>
        <w:rPr>
          <w:rFonts w:ascii="Liberation Sans" w:hAnsi="Liberation Sans"/>
          <w:color w:val="auto"/>
          <w:sz w:val="20"/>
          <w:szCs w:val="20"/>
        </w:rPr>
      </w:pPr>
      <w:r>
        <w:rPr>
          <w:rFonts w:ascii="Liberation Sans" w:hAnsi="Liberation Sans"/>
          <w:color w:val="auto"/>
          <w:sz w:val="20"/>
          <w:szCs w:val="20"/>
        </w:rPr>
        <w:t xml:space="preserve">Un programme national d’assistance technique, </w:t>
      </w:r>
      <w:r w:rsidRPr="00D07650">
        <w:rPr>
          <w:rFonts w:ascii="Liberation Sans" w:hAnsi="Liberation Sans"/>
          <w:b/>
          <w:color w:val="auto"/>
          <w:sz w:val="20"/>
          <w:szCs w:val="20"/>
        </w:rPr>
        <w:t>Europ’Act</w:t>
      </w:r>
      <w:r>
        <w:rPr>
          <w:rFonts w:ascii="Liberation Sans" w:hAnsi="Liberation Sans"/>
          <w:color w:val="auto"/>
          <w:sz w:val="20"/>
          <w:szCs w:val="20"/>
        </w:rPr>
        <w:t xml:space="preserve">, géré par le Commissariat Général à l’Egalité des Territoires (CGET) est l’outil qui apporte son soutien aux autorités de gestion des programmes pour la bonne mise en œuvre des fonds. </w:t>
      </w:r>
    </w:p>
    <w:p w:rsidR="00E363B9" w:rsidRDefault="00E363B9" w:rsidP="00FB55AF">
      <w:pPr>
        <w:pStyle w:val="Standard"/>
        <w:jc w:val="both"/>
        <w:rPr>
          <w:rFonts w:ascii="Liberation Sans" w:hAnsi="Liberation Sans"/>
          <w:color w:val="auto"/>
          <w:sz w:val="20"/>
          <w:szCs w:val="20"/>
        </w:rPr>
      </w:pPr>
    </w:p>
    <w:p w:rsidR="00E363B9" w:rsidRPr="00D07650" w:rsidRDefault="00E363B9" w:rsidP="00FB55AF">
      <w:pPr>
        <w:pStyle w:val="Standard"/>
        <w:jc w:val="both"/>
        <w:rPr>
          <w:rFonts w:ascii="Liberation Sans" w:hAnsi="Liberation Sans"/>
          <w:color w:val="auto"/>
          <w:sz w:val="20"/>
          <w:szCs w:val="20"/>
        </w:rPr>
      </w:pPr>
      <w:r>
        <w:rPr>
          <w:rFonts w:ascii="Liberation Sans" w:hAnsi="Liberation Sans"/>
          <w:color w:val="auto"/>
          <w:sz w:val="20"/>
          <w:szCs w:val="20"/>
        </w:rPr>
        <w:t xml:space="preserve">Toutes les informations sont disponibles sur le site internet ‘l’Europe en France’ : </w:t>
      </w:r>
    </w:p>
    <w:p w:rsidR="00E363B9" w:rsidRDefault="00E363B9" w:rsidP="000674FB">
      <w:pPr>
        <w:pStyle w:val="Standard"/>
        <w:jc w:val="both"/>
        <w:rPr>
          <w:rFonts w:ascii="Liberation Sans" w:hAnsi="Liberation Sans" w:cs="Times New Roman"/>
          <w:i/>
          <w:sz w:val="20"/>
          <w:szCs w:val="20"/>
        </w:rPr>
      </w:pPr>
      <w:hyperlink r:id="rId22" w:history="1">
        <w:r w:rsidRPr="00CD24F1">
          <w:rPr>
            <w:rStyle w:val="Hyperlink"/>
            <w:rFonts w:ascii="Liberation Sans" w:hAnsi="Liberation Sans"/>
            <w:i/>
            <w:sz w:val="20"/>
            <w:szCs w:val="20"/>
          </w:rPr>
          <w:t>http://www.europe-en-france.gouv.fr/</w:t>
        </w:r>
      </w:hyperlink>
    </w:p>
    <w:p w:rsidR="00E363B9" w:rsidRDefault="00E363B9" w:rsidP="00953388">
      <w:pPr>
        <w:pStyle w:val="Standard"/>
        <w:rPr>
          <w:rFonts w:ascii="Liberation Sans" w:hAnsi="Liberation Sans"/>
          <w:b/>
          <w:color w:val="008000"/>
          <w:sz w:val="20"/>
          <w:szCs w:val="20"/>
        </w:rPr>
      </w:pPr>
    </w:p>
    <w:p w:rsidR="00E363B9" w:rsidRDefault="00E363B9" w:rsidP="00953388">
      <w:pPr>
        <w:pStyle w:val="Standard"/>
        <w:rPr>
          <w:rFonts w:ascii="Liberation Sans" w:hAnsi="Liberation Sans"/>
          <w:b/>
          <w:color w:val="008000"/>
          <w:sz w:val="20"/>
          <w:szCs w:val="20"/>
        </w:rPr>
      </w:pPr>
    </w:p>
    <w:p w:rsidR="00E363B9" w:rsidRDefault="00E363B9" w:rsidP="00953388">
      <w:pPr>
        <w:pStyle w:val="Standard"/>
      </w:pPr>
      <w:r>
        <w:rPr>
          <w:rFonts w:ascii="Liberation Sans" w:hAnsi="Liberation Sans"/>
          <w:b/>
          <w:color w:val="008000"/>
          <w:sz w:val="20"/>
          <w:szCs w:val="20"/>
        </w:rPr>
        <w:t>Etat d’avancement des programmes</w:t>
      </w:r>
    </w:p>
    <w:p w:rsidR="00E363B9" w:rsidRDefault="00E363B9" w:rsidP="00F902B4">
      <w:pPr>
        <w:spacing w:before="100" w:beforeAutospacing="1" w:after="100" w:afterAutospacing="1"/>
        <w:jc w:val="both"/>
        <w:rPr>
          <w:rFonts w:ascii="Liberation Sans" w:hAnsi="Liberation Sans" w:cs="Liberation Sans"/>
          <w:sz w:val="20"/>
          <w:szCs w:val="20"/>
        </w:rPr>
      </w:pPr>
      <w:r w:rsidRPr="00F902B4">
        <w:rPr>
          <w:rFonts w:ascii="Liberation Sans" w:hAnsi="Liberation Sans" w:cs="Liberation Sans"/>
          <w:sz w:val="20"/>
          <w:szCs w:val="20"/>
        </w:rPr>
        <w:t xml:space="preserve">Les régions Languedoc-Roussillon, Aquitaine, Auvergne, Franche-Comté, </w:t>
      </w:r>
      <w:r>
        <w:rPr>
          <w:rFonts w:ascii="Liberation Sans" w:hAnsi="Liberation Sans" w:cs="Liberation Sans"/>
          <w:sz w:val="20"/>
          <w:szCs w:val="20"/>
        </w:rPr>
        <w:t>Rhône-Alpes,</w:t>
      </w:r>
      <w:r w:rsidRPr="00F902B4">
        <w:rPr>
          <w:rFonts w:ascii="Liberation Sans" w:hAnsi="Liberation Sans" w:cs="Liberation Sans"/>
          <w:sz w:val="20"/>
          <w:szCs w:val="20"/>
        </w:rPr>
        <w:t xml:space="preserve"> Haute-Normandie </w:t>
      </w:r>
      <w:r>
        <w:rPr>
          <w:rFonts w:ascii="Liberation Sans" w:hAnsi="Liberation Sans" w:cs="Liberation Sans"/>
          <w:sz w:val="20"/>
          <w:szCs w:val="20"/>
        </w:rPr>
        <w:t xml:space="preserve">et Basse-Normandie </w:t>
      </w:r>
      <w:r w:rsidRPr="00F902B4">
        <w:rPr>
          <w:rFonts w:ascii="Liberation Sans" w:hAnsi="Liberation Sans" w:cs="Liberation Sans"/>
          <w:sz w:val="20"/>
          <w:szCs w:val="20"/>
        </w:rPr>
        <w:t xml:space="preserve">ont d’ores et déjà obtenu l’approbation de leurs programmes. </w:t>
      </w:r>
      <w:r>
        <w:rPr>
          <w:rFonts w:ascii="Liberation Sans" w:hAnsi="Liberation Sans" w:cs="Liberation Sans"/>
          <w:sz w:val="20"/>
          <w:szCs w:val="20"/>
        </w:rPr>
        <w:t>Les autres programmes seront officiellement approuvés dans les semaines qui viennent.</w:t>
      </w:r>
    </w:p>
    <w:p w:rsidR="00E363B9" w:rsidRDefault="00E363B9" w:rsidP="00F902B4">
      <w:pPr>
        <w:spacing w:before="100" w:beforeAutospacing="1" w:after="100" w:afterAutospacing="1"/>
        <w:jc w:val="both"/>
        <w:rPr>
          <w:rFonts w:ascii="Liberation Sans" w:hAnsi="Liberation Sans" w:cs="Liberation Sans"/>
          <w:i/>
          <w:sz w:val="20"/>
          <w:szCs w:val="20"/>
        </w:rPr>
      </w:pPr>
      <w:r>
        <w:rPr>
          <w:rFonts w:ascii="Liberation Sans" w:hAnsi="Liberation Sans" w:cs="Liberation Sans"/>
          <w:sz w:val="20"/>
          <w:szCs w:val="20"/>
        </w:rPr>
        <w:t>Toutes les informations à jour sur les programmes sont disponibles à l’adresse suivante</w:t>
      </w:r>
      <w:r w:rsidRPr="00F902B4">
        <w:rPr>
          <w:rFonts w:ascii="Liberation Sans" w:hAnsi="Liberation Sans" w:cs="Liberation Sans"/>
          <w:sz w:val="20"/>
          <w:szCs w:val="20"/>
        </w:rPr>
        <w:t xml:space="preserve"> :  </w:t>
      </w:r>
      <w:hyperlink r:id="rId23" w:history="1">
        <w:r w:rsidRPr="00F902B4">
          <w:rPr>
            <w:rStyle w:val="Hyperlink"/>
            <w:rFonts w:ascii="Liberation Sans" w:hAnsi="Liberation Sans" w:cs="Liberation Sans"/>
            <w:i/>
            <w:sz w:val="20"/>
            <w:szCs w:val="20"/>
          </w:rPr>
          <w:t>http://www.europe-en-france.gouv.fr/Des-programmes-pour-qui-pour-quoi/Programmes-2014-2020</w:t>
        </w:r>
      </w:hyperlink>
    </w:p>
    <w:p w:rsidR="00E363B9" w:rsidRPr="00F902B4" w:rsidRDefault="00E363B9" w:rsidP="00F902B4">
      <w:pPr>
        <w:spacing w:before="100" w:beforeAutospacing="1" w:after="100" w:afterAutospacing="1"/>
        <w:jc w:val="both"/>
        <w:rPr>
          <w:rFonts w:ascii="Liberation Sans" w:hAnsi="Liberation Sans" w:cs="Liberation Sans"/>
          <w:sz w:val="20"/>
          <w:szCs w:val="20"/>
        </w:rPr>
      </w:pPr>
    </w:p>
    <w:p w:rsidR="00E363B9" w:rsidRDefault="00E363B9" w:rsidP="009A6D18">
      <w:pPr>
        <w:pStyle w:val="ListParagraph"/>
        <w:shd w:val="clear" w:color="auto" w:fill="FFFFFF"/>
        <w:ind w:left="1440"/>
        <w:jc w:val="both"/>
      </w:pPr>
    </w:p>
    <w:p w:rsidR="00E363B9" w:rsidRDefault="00E363B9" w:rsidP="009A6D18">
      <w:pPr>
        <w:pStyle w:val="ListParagraph"/>
        <w:numPr>
          <w:ilvl w:val="1"/>
          <w:numId w:val="2"/>
        </w:numPr>
        <w:shd w:val="clear" w:color="auto" w:fill="D9D9D9"/>
        <w:jc w:val="both"/>
      </w:pPr>
      <w:r>
        <w:rPr>
          <w:rFonts w:ascii="Liberation Sans" w:hAnsi="Liberation Sans"/>
          <w:b/>
          <w:sz w:val="20"/>
          <w:szCs w:val="20"/>
        </w:rPr>
        <w:t>Réseaux de relais conseils financés par l’ADEME à la disposition des acteurs du territoire</w:t>
      </w:r>
    </w:p>
    <w:p w:rsidR="00E363B9" w:rsidRDefault="00E363B9" w:rsidP="009A6D18">
      <w:pPr>
        <w:pStyle w:val="ListParagraph"/>
        <w:shd w:val="clear" w:color="auto" w:fill="FFFFFF"/>
        <w:ind w:left="1440"/>
        <w:jc w:val="both"/>
      </w:pPr>
    </w:p>
    <w:p w:rsidR="00E363B9" w:rsidRDefault="00E363B9" w:rsidP="009A6D18">
      <w:pPr>
        <w:pStyle w:val="Standard"/>
        <w:shd w:val="clear" w:color="auto" w:fill="FFFFFF"/>
        <w:jc w:val="both"/>
      </w:pPr>
      <w:r>
        <w:rPr>
          <w:rFonts w:ascii="Liberation Sans" w:hAnsi="Liberation Sans"/>
          <w:b/>
          <w:sz w:val="20"/>
          <w:szCs w:val="20"/>
        </w:rPr>
        <w:t xml:space="preserve">L’ADEME soutient les dispositifs de conseil en direction des particuliers, entreprises et collectifs, tel que : </w:t>
      </w:r>
    </w:p>
    <w:p w:rsidR="00E363B9" w:rsidRDefault="00E363B9" w:rsidP="009A6D18">
      <w:pPr>
        <w:pStyle w:val="Standard"/>
        <w:shd w:val="clear" w:color="auto" w:fill="FFFFFF"/>
        <w:jc w:val="both"/>
      </w:pPr>
      <w:r>
        <w:rPr>
          <w:rFonts w:ascii="Liberation Sans" w:hAnsi="Liberation Sans"/>
          <w:b/>
          <w:sz w:val="20"/>
          <w:szCs w:val="20"/>
          <w:u w:val="single"/>
        </w:rPr>
        <w:t>- Les EIE</w:t>
      </w:r>
      <w:r>
        <w:rPr>
          <w:rFonts w:ascii="Liberation Sans" w:hAnsi="Liberation Sans"/>
          <w:sz w:val="20"/>
          <w:szCs w:val="20"/>
        </w:rPr>
        <w:t xml:space="preserve"> (Espace Info Energie) : information et conseil aux particuliers. (253 EIE animés par 453 conseillers à ce jour).</w:t>
      </w:r>
    </w:p>
    <w:p w:rsidR="00E363B9" w:rsidRDefault="00E363B9" w:rsidP="009A6D18">
      <w:pPr>
        <w:pStyle w:val="Standard"/>
        <w:shd w:val="clear" w:color="auto" w:fill="FFFFFF"/>
        <w:jc w:val="both"/>
      </w:pPr>
      <w:r>
        <w:rPr>
          <w:rFonts w:ascii="Liberation Sans" w:hAnsi="Liberation Sans"/>
          <w:b/>
          <w:sz w:val="20"/>
          <w:szCs w:val="20"/>
          <w:u w:val="single"/>
        </w:rPr>
        <w:t xml:space="preserve">- BEEP </w:t>
      </w:r>
      <w:r>
        <w:rPr>
          <w:rFonts w:ascii="Liberation Sans" w:hAnsi="Liberation Sans"/>
          <w:sz w:val="20"/>
          <w:szCs w:val="20"/>
        </w:rPr>
        <w:t>(Bati Environnement Espace Pro) : information auprès des professionnels du bâtiment sur la qualité environnementale du bâtiment.</w:t>
      </w:r>
    </w:p>
    <w:p w:rsidR="00E363B9" w:rsidRDefault="00E363B9" w:rsidP="009A6D18">
      <w:pPr>
        <w:pStyle w:val="Standard"/>
        <w:shd w:val="clear" w:color="auto" w:fill="FFFFFF"/>
        <w:jc w:val="both"/>
      </w:pPr>
      <w:r>
        <w:rPr>
          <w:rFonts w:ascii="Liberation Sans" w:hAnsi="Liberation Sans"/>
          <w:b/>
          <w:sz w:val="20"/>
          <w:szCs w:val="20"/>
          <w:u w:val="single"/>
        </w:rPr>
        <w:t xml:space="preserve">- CEP </w:t>
      </w:r>
      <w:r>
        <w:rPr>
          <w:rFonts w:ascii="Liberation Sans" w:hAnsi="Liberation Sans"/>
          <w:sz w:val="20"/>
          <w:szCs w:val="20"/>
        </w:rPr>
        <w:t>(Conseil en Energie Partagé) : accompagnement pour les petites collectivités dans leur démarche et action en faveur de l’environnement dans le cadre d’un service partagé.</w:t>
      </w:r>
    </w:p>
    <w:p w:rsidR="00E363B9" w:rsidRDefault="00E363B9" w:rsidP="009A6D18">
      <w:pPr>
        <w:pStyle w:val="Standard"/>
        <w:shd w:val="clear" w:color="auto" w:fill="FFFFFF"/>
        <w:jc w:val="both"/>
      </w:pPr>
      <w:r>
        <w:rPr>
          <w:rFonts w:ascii="Liberation Sans" w:hAnsi="Liberation Sans"/>
          <w:b/>
          <w:sz w:val="20"/>
          <w:szCs w:val="20"/>
          <w:u w:val="single"/>
        </w:rPr>
        <w:t>- PCET :</w:t>
      </w:r>
      <w:r>
        <w:rPr>
          <w:rFonts w:ascii="Liberation Sans" w:hAnsi="Liberation Sans"/>
          <w:sz w:val="20"/>
          <w:szCs w:val="20"/>
        </w:rPr>
        <w:t xml:space="preserve"> Aide à l’ingénierie et au fonctionnement d’un projet territorial organisée et programmée dans une stratégie pour le climat.</w:t>
      </w:r>
    </w:p>
    <w:p w:rsidR="00E363B9" w:rsidRDefault="00E363B9" w:rsidP="009A6D18">
      <w:pPr>
        <w:pStyle w:val="Standard"/>
        <w:shd w:val="clear" w:color="auto" w:fill="FFFFFF"/>
        <w:jc w:val="both"/>
      </w:pPr>
      <w:r>
        <w:rPr>
          <w:rFonts w:ascii="Liberation Sans" w:hAnsi="Liberation Sans"/>
          <w:sz w:val="20"/>
          <w:szCs w:val="20"/>
        </w:rPr>
        <w:t xml:space="preserve">- </w:t>
      </w:r>
      <w:r>
        <w:rPr>
          <w:rFonts w:ascii="Liberation Sans" w:hAnsi="Liberation Sans"/>
          <w:b/>
          <w:sz w:val="20"/>
          <w:szCs w:val="20"/>
          <w:u w:val="single"/>
        </w:rPr>
        <w:t>Conseillers en CCI, CMA,</w:t>
      </w:r>
    </w:p>
    <w:p w:rsidR="00E363B9" w:rsidRDefault="00E363B9" w:rsidP="009A6D18">
      <w:pPr>
        <w:pStyle w:val="Standard"/>
        <w:shd w:val="clear" w:color="auto" w:fill="FFFFFF"/>
        <w:jc w:val="both"/>
      </w:pPr>
      <w:r>
        <w:rPr>
          <w:rFonts w:ascii="Liberation Sans" w:hAnsi="Liberation Sans"/>
          <w:b/>
          <w:sz w:val="20"/>
          <w:szCs w:val="20"/>
          <w:u w:val="single"/>
        </w:rPr>
        <w:t xml:space="preserve">- Animateur Bois énergie, </w:t>
      </w:r>
    </w:p>
    <w:p w:rsidR="00E363B9" w:rsidRDefault="00E363B9" w:rsidP="009A6D18">
      <w:pPr>
        <w:pStyle w:val="Standard"/>
        <w:shd w:val="clear" w:color="auto" w:fill="FFFFFF"/>
        <w:jc w:val="both"/>
      </w:pPr>
      <w:r>
        <w:rPr>
          <w:rFonts w:ascii="Liberation Sans" w:hAnsi="Liberation Sans"/>
          <w:b/>
          <w:sz w:val="20"/>
          <w:szCs w:val="20"/>
          <w:u w:val="single"/>
        </w:rPr>
        <w:t>- Animateur prévention déchets…</w:t>
      </w:r>
    </w:p>
    <w:p w:rsidR="00E363B9" w:rsidRDefault="00E363B9" w:rsidP="001612BD">
      <w:pPr>
        <w:pStyle w:val="Standard"/>
        <w:jc w:val="both"/>
        <w:rPr>
          <w:rFonts w:ascii="Calibri" w:hAnsi="Calibri"/>
          <w:color w:val="auto"/>
          <w:sz w:val="18"/>
          <w:szCs w:val="18"/>
        </w:rPr>
      </w:pPr>
    </w:p>
    <w:p w:rsidR="00E363B9" w:rsidRDefault="00E363B9" w:rsidP="001612BD">
      <w:pPr>
        <w:pStyle w:val="Standard"/>
        <w:jc w:val="both"/>
        <w:rPr>
          <w:sz w:val="18"/>
          <w:szCs w:val="18"/>
        </w:rPr>
      </w:pPr>
    </w:p>
    <w:p w:rsidR="00E363B9" w:rsidRPr="00F902B4" w:rsidRDefault="00E363B9" w:rsidP="001612BD">
      <w:pPr>
        <w:pStyle w:val="Standard"/>
        <w:jc w:val="both"/>
        <w:rPr>
          <w:rFonts w:ascii="Calibri" w:hAnsi="Calibri"/>
          <w:color w:val="auto"/>
          <w:sz w:val="18"/>
          <w:szCs w:val="18"/>
        </w:rPr>
      </w:pPr>
    </w:p>
    <w:sectPr w:rsidR="00E363B9" w:rsidRPr="00F902B4" w:rsidSect="0098641B">
      <w:footerReference w:type="even" r:id="rId24"/>
      <w:footerReference w:type="default" r:id="rId25"/>
      <w:pgSz w:w="11906" w:h="16838"/>
      <w:pgMar w:top="720" w:right="720" w:bottom="720" w:left="720"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63B9" w:rsidRDefault="00E363B9">
      <w:r>
        <w:separator/>
      </w:r>
    </w:p>
  </w:endnote>
  <w:endnote w:type="continuationSeparator" w:id="0">
    <w:p w:rsidR="00E363B9" w:rsidRDefault="00E363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Liberation Sans">
    <w:altName w:val="Arial"/>
    <w:panose1 w:val="020B0604020202020204"/>
    <w:charset w:val="00"/>
    <w:family w:val="swiss"/>
    <w:pitch w:val="variable"/>
    <w:sig w:usb0="A00002AF" w:usb1="500078FB"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3B9" w:rsidRDefault="00E363B9" w:rsidP="00EE59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363B9" w:rsidRDefault="00E363B9" w:rsidP="007522D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63B9" w:rsidRDefault="00E363B9" w:rsidP="00EE596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363B9" w:rsidRDefault="00E363B9" w:rsidP="007522D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63B9" w:rsidRDefault="00E363B9">
      <w:r>
        <w:separator/>
      </w:r>
    </w:p>
  </w:footnote>
  <w:footnote w:type="continuationSeparator" w:id="0">
    <w:p w:rsidR="00E363B9" w:rsidRDefault="00E363B9">
      <w:r>
        <w:continuationSeparator/>
      </w:r>
    </w:p>
  </w:footnote>
  <w:footnote w:id="1">
    <w:p w:rsidR="00E363B9" w:rsidRDefault="00E363B9" w:rsidP="00B02DAB">
      <w:pPr>
        <w:pStyle w:val="FootnoteText"/>
        <w:jc w:val="both"/>
      </w:pPr>
      <w:r w:rsidRPr="00B02DAB">
        <w:rPr>
          <w:rStyle w:val="FootnoteReference"/>
          <w:sz w:val="18"/>
          <w:szCs w:val="18"/>
        </w:rPr>
        <w:footnoteRef/>
      </w:r>
      <w:r w:rsidRPr="00B02DAB">
        <w:rPr>
          <w:sz w:val="18"/>
          <w:szCs w:val="18"/>
        </w:rPr>
        <w:t xml:space="preserve"> OT 1 : Recherche, développement, innovation – OT 2 : Technologies de l’information et de la communication – OT 3 : Compétitivité des petites et moyennes entreprises – OT 4 : Transition vers une économie à faibles émissions de carbone (dont mobilité urbaine) – OT 5 : Adaptation au changement climatique et prévention des risques – OT 6 : Protection et préservation de l’environnement et du patrimoine – OT 7 : Infrastructures de transport (hors mobilité urbaine) – OT 8 : Emploi – OT 9 : Inclusion sociale – OT 10 : </w:t>
      </w:r>
      <w:r>
        <w:rPr>
          <w:sz w:val="18"/>
          <w:szCs w:val="18"/>
        </w:rPr>
        <w:t>Education et form</w:t>
      </w:r>
      <w:r w:rsidRPr="00B02DAB">
        <w:rPr>
          <w:sz w:val="18"/>
          <w:szCs w:val="18"/>
        </w:rPr>
        <w:t xml:space="preserve">ation professionnelle – OT 11 : capacité administrative. </w:t>
      </w:r>
    </w:p>
  </w:footnote>
  <w:footnote w:id="2">
    <w:p w:rsidR="00E363B9" w:rsidRDefault="00E363B9" w:rsidP="000962C4">
      <w:r>
        <w:rPr>
          <w:rStyle w:val="FootnoteReference"/>
        </w:rPr>
        <w:footnoteRef/>
      </w:r>
      <w:r>
        <w:t xml:space="preserve"> </w:t>
      </w:r>
      <w:r w:rsidRPr="000962C4">
        <w:rPr>
          <w:sz w:val="20"/>
          <w:szCs w:val="20"/>
        </w:rPr>
        <w:t xml:space="preserve">Les RUP françaises  sont : la Martinique, la Guadeloupe, la Guyane, la Réunion et Mayotte, ainsi que la collectivité française de Saint-Martin </w:t>
      </w:r>
    </w:p>
  </w:footnote>
  <w:footnote w:id="3">
    <w:p w:rsidR="00E363B9" w:rsidRDefault="00E363B9">
      <w:pPr>
        <w:pStyle w:val="FootnoteText"/>
      </w:pPr>
      <w:r>
        <w:rPr>
          <w:rStyle w:val="FootnoteReference"/>
        </w:rPr>
        <w:footnoteRef/>
      </w:r>
      <w:r>
        <w:t xml:space="preserve"> </w:t>
      </w:r>
      <w:r w:rsidRPr="00324E8A">
        <w:t>partie 3, page 299</w:t>
      </w:r>
    </w:p>
  </w:footnote>
  <w:footnote w:id="4">
    <w:p w:rsidR="00E363B9" w:rsidRDefault="00E363B9">
      <w:pPr>
        <w:pStyle w:val="FootnoteText"/>
      </w:pPr>
      <w:r>
        <w:rPr>
          <w:rStyle w:val="FootnoteReference"/>
        </w:rPr>
        <w:footnoteRef/>
      </w:r>
      <w:r>
        <w:t xml:space="preserve"> </w:t>
      </w:r>
      <w:r w:rsidRPr="00FB55AF">
        <w:t>s’agissant du FSE, seules les mesures relatives à la formation sont de la responsabilité des régions</w:t>
      </w:r>
    </w:p>
  </w:footnote>
  <w:footnote w:id="5">
    <w:p w:rsidR="00E363B9" w:rsidRDefault="00E363B9">
      <w:pPr>
        <w:pStyle w:val="FootnoteText"/>
      </w:pPr>
      <w:r>
        <w:rPr>
          <w:rStyle w:val="FootnoteReference"/>
        </w:rPr>
        <w:footnoteRef/>
      </w:r>
      <w:r>
        <w:t xml:space="preserve"> A Mayotte, c’est le Préfet de région qui est autorité de gestion du PO Feder/FSE.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22EC9"/>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1C470DB"/>
    <w:multiLevelType w:val="multilevel"/>
    <w:tmpl w:val="FFFFFFFF"/>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2E7A31E9"/>
    <w:multiLevelType w:val="multilevel"/>
    <w:tmpl w:val="FFFFFFFF"/>
    <w:lvl w:ilvl="0">
      <w:start w:val="1"/>
      <w:numFmt w:val="decimal"/>
      <w:lvlText w:val="%1)"/>
      <w:lvlJc w:val="left"/>
      <w:pPr>
        <w:ind w:left="720" w:hanging="360"/>
      </w:pPr>
      <w:rPr>
        <w:rFonts w:cs="Times New Roman"/>
        <w:color w:val="000000"/>
        <w:sz w:val="24"/>
      </w:rPr>
    </w:lvl>
    <w:lvl w:ilvl="1">
      <w:start w:val="1"/>
      <w:numFmt w:val="decimal"/>
      <w:lvlText w:val="%2."/>
      <w:lvlJc w:val="left"/>
      <w:pPr>
        <w:ind w:left="1440" w:hanging="360"/>
      </w:pPr>
      <w:rPr>
        <w:rFonts w:cs="Times New Roman"/>
      </w:rPr>
    </w:lvl>
    <w:lvl w:ilvl="2">
      <w:start w:val="1"/>
      <w:numFmt w:val="lowerLetter"/>
      <w:lvlText w:val="%3)"/>
      <w:lvlJc w:val="left"/>
      <w:pPr>
        <w:tabs>
          <w:tab w:val="num" w:pos="2340"/>
        </w:tabs>
        <w:ind w:left="2340" w:hanging="360"/>
      </w:pPr>
      <w:rPr>
        <w:rFonts w:cs="Times New Roman"/>
        <w:color w:val="000000"/>
        <w:sz w:val="24"/>
      </w:rPr>
    </w:lvl>
    <w:lvl w:ilvl="3">
      <w:start w:val="1"/>
      <w:numFmt w:val="bullet"/>
      <w:lvlText w:val=""/>
      <w:lvlJc w:val="left"/>
      <w:pPr>
        <w:tabs>
          <w:tab w:val="num" w:pos="2880"/>
        </w:tabs>
        <w:ind w:left="2880" w:hanging="360"/>
      </w:pPr>
      <w:rPr>
        <w:rFonts w:ascii="Symbol" w:hAnsi="Symbol" w:hint="default"/>
        <w:color w:val="000000"/>
        <w:sz w:val="24"/>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nsid w:val="2FF86BEC"/>
    <w:multiLevelType w:val="hybridMultilevel"/>
    <w:tmpl w:val="8E2EF4AA"/>
    <w:lvl w:ilvl="0" w:tplc="BB320380">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34031C6C"/>
    <w:multiLevelType w:val="multilevel"/>
    <w:tmpl w:val="FFFFFFFF"/>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47D61D67"/>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6">
    <w:nsid w:val="4B4E2F5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74187DC0"/>
    <w:multiLevelType w:val="hybridMultilevel"/>
    <w:tmpl w:val="0E8A169C"/>
    <w:lvl w:ilvl="0" w:tplc="BB320380">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8">
    <w:nsid w:val="7FE66691"/>
    <w:multiLevelType w:val="hybridMultilevel"/>
    <w:tmpl w:val="40D4587A"/>
    <w:lvl w:ilvl="0" w:tplc="BB320380">
      <w:numFmt w:val="bullet"/>
      <w:lvlText w:val="-"/>
      <w:lvlJc w:val="left"/>
      <w:pPr>
        <w:tabs>
          <w:tab w:val="num" w:pos="720"/>
        </w:tabs>
        <w:ind w:left="720" w:hanging="360"/>
      </w:pPr>
      <w:rPr>
        <w:rFonts w:ascii="Arial" w:eastAsia="Times New Roman" w:hAnsi="Aria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1"/>
  </w:num>
  <w:num w:numId="4">
    <w:abstractNumId w:val="6"/>
  </w:num>
  <w:num w:numId="5">
    <w:abstractNumId w:val="4"/>
  </w:num>
  <w:num w:numId="6">
    <w:abstractNumId w:val="0"/>
  </w:num>
  <w:num w:numId="7">
    <w:abstractNumId w:val="3"/>
  </w:num>
  <w:num w:numId="8">
    <w:abstractNumId w:val="8"/>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8641B"/>
    <w:rsid w:val="000122EE"/>
    <w:rsid w:val="00022B3C"/>
    <w:rsid w:val="000674FB"/>
    <w:rsid w:val="00095E56"/>
    <w:rsid w:val="000962C4"/>
    <w:rsid w:val="000A0C63"/>
    <w:rsid w:val="000B0420"/>
    <w:rsid w:val="000B786C"/>
    <w:rsid w:val="000E4560"/>
    <w:rsid w:val="000E5811"/>
    <w:rsid w:val="00152196"/>
    <w:rsid w:val="00153205"/>
    <w:rsid w:val="001612BD"/>
    <w:rsid w:val="00191867"/>
    <w:rsid w:val="00191D27"/>
    <w:rsid w:val="001A2E81"/>
    <w:rsid w:val="001C542A"/>
    <w:rsid w:val="001C57FC"/>
    <w:rsid w:val="001D62E2"/>
    <w:rsid w:val="001F5D30"/>
    <w:rsid w:val="002050B0"/>
    <w:rsid w:val="00223122"/>
    <w:rsid w:val="002503AA"/>
    <w:rsid w:val="002A0FFF"/>
    <w:rsid w:val="002A55CC"/>
    <w:rsid w:val="002B44B1"/>
    <w:rsid w:val="002C082C"/>
    <w:rsid w:val="00324E8A"/>
    <w:rsid w:val="00363EC9"/>
    <w:rsid w:val="003A6E41"/>
    <w:rsid w:val="004252A6"/>
    <w:rsid w:val="00471AFE"/>
    <w:rsid w:val="004E19A8"/>
    <w:rsid w:val="004E3DF5"/>
    <w:rsid w:val="00501751"/>
    <w:rsid w:val="0050401B"/>
    <w:rsid w:val="005244DC"/>
    <w:rsid w:val="00562A43"/>
    <w:rsid w:val="005A20D3"/>
    <w:rsid w:val="005D5D49"/>
    <w:rsid w:val="006028F4"/>
    <w:rsid w:val="00634CBE"/>
    <w:rsid w:val="00641483"/>
    <w:rsid w:val="0067130F"/>
    <w:rsid w:val="00695341"/>
    <w:rsid w:val="006C58A3"/>
    <w:rsid w:val="00720871"/>
    <w:rsid w:val="00733B1A"/>
    <w:rsid w:val="007522D9"/>
    <w:rsid w:val="007601DA"/>
    <w:rsid w:val="00794D08"/>
    <w:rsid w:val="007C18D2"/>
    <w:rsid w:val="007C241C"/>
    <w:rsid w:val="008067C3"/>
    <w:rsid w:val="008259D0"/>
    <w:rsid w:val="00835442"/>
    <w:rsid w:val="00842602"/>
    <w:rsid w:val="00886C0F"/>
    <w:rsid w:val="008923B8"/>
    <w:rsid w:val="008B2B05"/>
    <w:rsid w:val="008B3033"/>
    <w:rsid w:val="009170F0"/>
    <w:rsid w:val="00917F14"/>
    <w:rsid w:val="00941600"/>
    <w:rsid w:val="00953388"/>
    <w:rsid w:val="00982362"/>
    <w:rsid w:val="0098641B"/>
    <w:rsid w:val="00995AD9"/>
    <w:rsid w:val="009A6D18"/>
    <w:rsid w:val="009D6330"/>
    <w:rsid w:val="009E665C"/>
    <w:rsid w:val="009F186F"/>
    <w:rsid w:val="00A02458"/>
    <w:rsid w:val="00A16959"/>
    <w:rsid w:val="00A41CC7"/>
    <w:rsid w:val="00A53FF4"/>
    <w:rsid w:val="00AB35DC"/>
    <w:rsid w:val="00B00C06"/>
    <w:rsid w:val="00B02DAB"/>
    <w:rsid w:val="00B15207"/>
    <w:rsid w:val="00B766AD"/>
    <w:rsid w:val="00B8581C"/>
    <w:rsid w:val="00B93ACA"/>
    <w:rsid w:val="00BC17CC"/>
    <w:rsid w:val="00BE2E4F"/>
    <w:rsid w:val="00BF0D4F"/>
    <w:rsid w:val="00C03598"/>
    <w:rsid w:val="00C51B03"/>
    <w:rsid w:val="00C82EE3"/>
    <w:rsid w:val="00C97AE5"/>
    <w:rsid w:val="00CD24F1"/>
    <w:rsid w:val="00CD7B0C"/>
    <w:rsid w:val="00CD7FF0"/>
    <w:rsid w:val="00CE2807"/>
    <w:rsid w:val="00D07650"/>
    <w:rsid w:val="00D10C38"/>
    <w:rsid w:val="00D27DD9"/>
    <w:rsid w:val="00D53F47"/>
    <w:rsid w:val="00D82F0C"/>
    <w:rsid w:val="00D910BB"/>
    <w:rsid w:val="00D94CDE"/>
    <w:rsid w:val="00DB43D2"/>
    <w:rsid w:val="00DB579D"/>
    <w:rsid w:val="00DE5B03"/>
    <w:rsid w:val="00E109C0"/>
    <w:rsid w:val="00E3231A"/>
    <w:rsid w:val="00E33FB9"/>
    <w:rsid w:val="00E363B9"/>
    <w:rsid w:val="00E46B96"/>
    <w:rsid w:val="00E8279C"/>
    <w:rsid w:val="00E82A1C"/>
    <w:rsid w:val="00E94556"/>
    <w:rsid w:val="00EC10BF"/>
    <w:rsid w:val="00EE596C"/>
    <w:rsid w:val="00F10EA7"/>
    <w:rsid w:val="00F31DC1"/>
    <w:rsid w:val="00F35E95"/>
    <w:rsid w:val="00F36F05"/>
    <w:rsid w:val="00F41DCE"/>
    <w:rsid w:val="00F4495C"/>
    <w:rsid w:val="00F54F6F"/>
    <w:rsid w:val="00F71176"/>
    <w:rsid w:val="00F902B4"/>
    <w:rsid w:val="00F924C0"/>
    <w:rsid w:val="00F92D1D"/>
    <w:rsid w:val="00F92DEE"/>
    <w:rsid w:val="00FA66C7"/>
    <w:rsid w:val="00FB55AF"/>
    <w:rsid w:val="00FD2243"/>
    <w:rsid w:val="00FF1D68"/>
    <w:rsid w:val="00FF2077"/>
  </w:rsids>
  <m:mathPr>
    <m:mathFont m:val="Cambria Math"/>
    <m:brkBin m:val="before"/>
    <m:brkBinSub m:val="--"/>
    <m:smallFrac m:val="off"/>
    <m:dispDef/>
    <m:lMargin m:val="0"/>
    <m:rMargin m:val="0"/>
    <m:defJc m:val="centerGroup"/>
    <m:wrapIndent m:val="1440"/>
    <m:intLim m:val="subSup"/>
    <m:naryLim m:val="undOvr"/>
  </m:mathPr>
  <w:uiCompat97To2003/>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fr-FR" w:eastAsia="fr-F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9D0"/>
  </w:style>
  <w:style w:type="paragraph" w:styleId="Heading3">
    <w:name w:val="heading 3"/>
    <w:basedOn w:val="Standard"/>
    <w:next w:val="BodyText"/>
    <w:link w:val="Heading3Char"/>
    <w:uiPriority w:val="99"/>
    <w:qFormat/>
    <w:rsid w:val="0098641B"/>
    <w:pPr>
      <w:numPr>
        <w:ilvl w:val="2"/>
        <w:numId w:val="1"/>
      </w:numPr>
      <w:spacing w:before="28" w:after="28"/>
      <w:outlineLvl w:val="2"/>
    </w:pPr>
    <w:rPr>
      <w:rFonts w:ascii="Times New Roman" w:hAnsi="Times New Roman"/>
      <w:b/>
      <w:bCs/>
      <w:sz w:val="27"/>
      <w:szCs w:val="27"/>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98641B"/>
    <w:rPr>
      <w:rFonts w:ascii="Cambria" w:hAnsi="Cambria" w:cs="Times New Roman"/>
      <w:b/>
      <w:bCs/>
      <w:sz w:val="26"/>
      <w:szCs w:val="26"/>
      <w:lang w:eastAsia="en-US"/>
    </w:rPr>
  </w:style>
  <w:style w:type="paragraph" w:customStyle="1" w:styleId="Standard">
    <w:name w:val="Standard"/>
    <w:uiPriority w:val="99"/>
    <w:rsid w:val="0098641B"/>
    <w:pPr>
      <w:tabs>
        <w:tab w:val="left" w:pos="708"/>
      </w:tabs>
      <w:suppressAutoHyphens/>
    </w:pPr>
    <w:rPr>
      <w:rFonts w:ascii="Arial" w:hAnsi="Arial" w:cs="Arial"/>
      <w:color w:val="000000"/>
      <w:sz w:val="24"/>
      <w:szCs w:val="24"/>
    </w:rPr>
  </w:style>
  <w:style w:type="character" w:customStyle="1" w:styleId="LienInternet">
    <w:name w:val="Lien Internet"/>
    <w:basedOn w:val="DefaultParagraphFont"/>
    <w:uiPriority w:val="99"/>
    <w:rsid w:val="0098641B"/>
    <w:rPr>
      <w:rFonts w:cs="Times New Roman"/>
      <w:color w:val="0000FF"/>
      <w:u w:val="none"/>
      <w:effect w:val="none"/>
      <w:lang w:val="fr-FR" w:eastAsia="fr-FR"/>
    </w:rPr>
  </w:style>
  <w:style w:type="character" w:customStyle="1" w:styleId="Accentuationforte">
    <w:name w:val="Accentuation forte"/>
    <w:basedOn w:val="DefaultParagraphFont"/>
    <w:uiPriority w:val="99"/>
    <w:rsid w:val="0098641B"/>
    <w:rPr>
      <w:rFonts w:cs="Times New Roman"/>
      <w:b/>
      <w:bCs/>
    </w:rPr>
  </w:style>
  <w:style w:type="character" w:customStyle="1" w:styleId="descfile2">
    <w:name w:val="descfile2"/>
    <w:basedOn w:val="DefaultParagraphFont"/>
    <w:uiPriority w:val="99"/>
    <w:rsid w:val="0098641B"/>
    <w:rPr>
      <w:rFonts w:ascii="Tahoma" w:hAnsi="Tahoma" w:cs="Tahoma"/>
      <w:color w:val="888888"/>
      <w:sz w:val="22"/>
      <w:szCs w:val="22"/>
      <w:u w:val="none"/>
      <w:effect w:val="none"/>
    </w:rPr>
  </w:style>
  <w:style w:type="character" w:customStyle="1" w:styleId="BalloonTextChar">
    <w:name w:val="Balloon Text Char"/>
    <w:basedOn w:val="DefaultParagraphFont"/>
    <w:uiPriority w:val="99"/>
    <w:rsid w:val="0098641B"/>
    <w:rPr>
      <w:rFonts w:ascii="Tahoma" w:hAnsi="Tahoma" w:cs="Tahoma"/>
      <w:sz w:val="16"/>
      <w:szCs w:val="16"/>
    </w:rPr>
  </w:style>
  <w:style w:type="character" w:customStyle="1" w:styleId="gras1">
    <w:name w:val="gras1"/>
    <w:basedOn w:val="DefaultParagraphFont"/>
    <w:uiPriority w:val="99"/>
    <w:rsid w:val="0098641B"/>
    <w:rPr>
      <w:rFonts w:cs="Times New Roman"/>
      <w:b/>
      <w:bCs/>
    </w:rPr>
  </w:style>
  <w:style w:type="character" w:customStyle="1" w:styleId="BodyText3Char">
    <w:name w:val="Body Text 3 Char"/>
    <w:basedOn w:val="DefaultParagraphFont"/>
    <w:uiPriority w:val="99"/>
    <w:rsid w:val="0098641B"/>
    <w:rPr>
      <w:rFonts w:ascii="Verdana" w:hAnsi="Verdana" w:cs="Times New Roman"/>
      <w:sz w:val="20"/>
      <w:szCs w:val="20"/>
    </w:rPr>
  </w:style>
  <w:style w:type="character" w:customStyle="1" w:styleId="ListLabel1">
    <w:name w:val="ListLabel 1"/>
    <w:uiPriority w:val="99"/>
    <w:rsid w:val="0098641B"/>
    <w:rPr>
      <w:rFonts w:eastAsia="Times New Roman"/>
      <w:color w:val="000000"/>
      <w:sz w:val="24"/>
    </w:rPr>
  </w:style>
  <w:style w:type="character" w:customStyle="1" w:styleId="ListLabel2">
    <w:name w:val="ListLabel 2"/>
    <w:uiPriority w:val="99"/>
    <w:rsid w:val="0098641B"/>
  </w:style>
  <w:style w:type="character" w:customStyle="1" w:styleId="ListLabel3">
    <w:name w:val="ListLabel 3"/>
    <w:uiPriority w:val="99"/>
    <w:rsid w:val="0098641B"/>
    <w:rPr>
      <w:color w:val="000000"/>
      <w:sz w:val="24"/>
    </w:rPr>
  </w:style>
  <w:style w:type="character" w:customStyle="1" w:styleId="ListLabel4">
    <w:name w:val="ListLabel 4"/>
    <w:uiPriority w:val="99"/>
    <w:rsid w:val="0098641B"/>
    <w:rPr>
      <w:color w:val="000000"/>
      <w:sz w:val="24"/>
    </w:rPr>
  </w:style>
  <w:style w:type="character" w:customStyle="1" w:styleId="ListLabel5">
    <w:name w:val="ListLabel 5"/>
    <w:uiPriority w:val="99"/>
    <w:rsid w:val="0098641B"/>
    <w:rPr>
      <w:rFonts w:eastAsia="Times New Roman"/>
    </w:rPr>
  </w:style>
  <w:style w:type="character" w:customStyle="1" w:styleId="ListLabel6">
    <w:name w:val="ListLabel 6"/>
    <w:uiPriority w:val="99"/>
    <w:rsid w:val="0098641B"/>
    <w:rPr>
      <w:color w:val="008000"/>
      <w:sz w:val="18"/>
    </w:rPr>
  </w:style>
  <w:style w:type="character" w:customStyle="1" w:styleId="ListLabel7">
    <w:name w:val="ListLabel 7"/>
    <w:uiPriority w:val="99"/>
    <w:rsid w:val="0098641B"/>
    <w:rPr>
      <w:color w:val="000000"/>
      <w:sz w:val="24"/>
    </w:rPr>
  </w:style>
  <w:style w:type="character" w:customStyle="1" w:styleId="ListLabel8">
    <w:name w:val="ListLabel 8"/>
    <w:uiPriority w:val="99"/>
    <w:rsid w:val="0098641B"/>
    <w:rPr>
      <w:color w:val="000000"/>
      <w:sz w:val="24"/>
    </w:rPr>
  </w:style>
  <w:style w:type="character" w:customStyle="1" w:styleId="ListLabel9">
    <w:name w:val="ListLabel 9"/>
    <w:uiPriority w:val="99"/>
    <w:rsid w:val="0098641B"/>
  </w:style>
  <w:style w:type="character" w:customStyle="1" w:styleId="ListLabel10">
    <w:name w:val="ListLabel 10"/>
    <w:uiPriority w:val="99"/>
    <w:rsid w:val="0098641B"/>
  </w:style>
  <w:style w:type="character" w:customStyle="1" w:styleId="ListLabel11">
    <w:name w:val="ListLabel 11"/>
    <w:uiPriority w:val="99"/>
    <w:rsid w:val="0098641B"/>
  </w:style>
  <w:style w:type="character" w:customStyle="1" w:styleId="ListLabel12">
    <w:name w:val="ListLabel 12"/>
    <w:uiPriority w:val="99"/>
    <w:rsid w:val="0098641B"/>
  </w:style>
  <w:style w:type="paragraph" w:styleId="Title">
    <w:name w:val="Title"/>
    <w:basedOn w:val="Standard"/>
    <w:next w:val="BodyText"/>
    <w:link w:val="TitleChar"/>
    <w:uiPriority w:val="99"/>
    <w:qFormat/>
    <w:rsid w:val="0098641B"/>
    <w:pPr>
      <w:keepNext/>
      <w:spacing w:before="240" w:after="120"/>
    </w:pPr>
    <w:rPr>
      <w:rFonts w:ascii="Liberation Sans" w:eastAsia="Microsoft YaHei" w:hAnsi="Liberation Sans" w:cs="Mangal"/>
      <w:sz w:val="28"/>
      <w:szCs w:val="28"/>
    </w:rPr>
  </w:style>
  <w:style w:type="character" w:customStyle="1" w:styleId="TitleChar">
    <w:name w:val="Title Char"/>
    <w:basedOn w:val="DefaultParagraphFont"/>
    <w:link w:val="Title"/>
    <w:uiPriority w:val="99"/>
    <w:locked/>
    <w:rsid w:val="006028F4"/>
    <w:rPr>
      <w:rFonts w:ascii="Cambria" w:hAnsi="Cambria" w:cs="Times New Roman"/>
      <w:b/>
      <w:bCs/>
      <w:kern w:val="28"/>
      <w:sz w:val="32"/>
      <w:szCs w:val="32"/>
    </w:rPr>
  </w:style>
  <w:style w:type="paragraph" w:styleId="BodyText">
    <w:name w:val="Body Text"/>
    <w:basedOn w:val="Standard"/>
    <w:link w:val="BodyTextChar"/>
    <w:uiPriority w:val="99"/>
    <w:rsid w:val="0098641B"/>
    <w:pPr>
      <w:spacing w:after="120"/>
    </w:pPr>
  </w:style>
  <w:style w:type="character" w:customStyle="1" w:styleId="BodyTextChar">
    <w:name w:val="Body Text Char"/>
    <w:basedOn w:val="DefaultParagraphFont"/>
    <w:link w:val="BodyText"/>
    <w:uiPriority w:val="99"/>
    <w:semiHidden/>
    <w:locked/>
    <w:rsid w:val="006028F4"/>
    <w:rPr>
      <w:rFonts w:cs="Times New Roman"/>
    </w:rPr>
  </w:style>
  <w:style w:type="paragraph" w:styleId="List">
    <w:name w:val="List"/>
    <w:basedOn w:val="BodyText"/>
    <w:uiPriority w:val="99"/>
    <w:rsid w:val="0098641B"/>
    <w:rPr>
      <w:rFonts w:ascii="Liberation Sans" w:hAnsi="Liberation Sans" w:cs="Mangal"/>
    </w:rPr>
  </w:style>
  <w:style w:type="paragraph" w:styleId="Caption">
    <w:name w:val="caption"/>
    <w:basedOn w:val="Standard"/>
    <w:uiPriority w:val="99"/>
    <w:qFormat/>
    <w:rsid w:val="0098641B"/>
    <w:pPr>
      <w:suppressLineNumbers/>
      <w:spacing w:before="120" w:after="120"/>
    </w:pPr>
    <w:rPr>
      <w:rFonts w:ascii="Liberation Sans" w:hAnsi="Liberation Sans" w:cs="Mangal"/>
      <w:i/>
      <w:iCs/>
    </w:rPr>
  </w:style>
  <w:style w:type="paragraph" w:customStyle="1" w:styleId="Index">
    <w:name w:val="Index"/>
    <w:basedOn w:val="Standard"/>
    <w:uiPriority w:val="99"/>
    <w:rsid w:val="0098641B"/>
    <w:pPr>
      <w:suppressLineNumbers/>
    </w:pPr>
    <w:rPr>
      <w:rFonts w:ascii="Liberation Sans" w:hAnsi="Liberation Sans" w:cs="Mangal"/>
    </w:rPr>
  </w:style>
  <w:style w:type="paragraph" w:styleId="ListParagraph">
    <w:name w:val="List Paragraph"/>
    <w:basedOn w:val="Standard"/>
    <w:uiPriority w:val="99"/>
    <w:qFormat/>
    <w:rsid w:val="0098641B"/>
    <w:pPr>
      <w:ind w:left="720"/>
    </w:pPr>
  </w:style>
  <w:style w:type="paragraph" w:styleId="NormalWeb">
    <w:name w:val="Normal (Web)"/>
    <w:basedOn w:val="Standard"/>
    <w:uiPriority w:val="99"/>
    <w:rsid w:val="0098641B"/>
    <w:pPr>
      <w:spacing w:before="28" w:after="28"/>
    </w:pPr>
    <w:rPr>
      <w:rFonts w:ascii="Verdana" w:hAnsi="Verdana"/>
    </w:rPr>
  </w:style>
  <w:style w:type="paragraph" w:styleId="BalloonText">
    <w:name w:val="Balloon Text"/>
    <w:basedOn w:val="Standard"/>
    <w:link w:val="BalloonTextChar1"/>
    <w:uiPriority w:val="99"/>
    <w:rsid w:val="0098641B"/>
    <w:rPr>
      <w:rFonts w:ascii="Tahoma" w:hAnsi="Tahoma" w:cs="Tahoma"/>
      <w:sz w:val="16"/>
      <w:szCs w:val="16"/>
    </w:rPr>
  </w:style>
  <w:style w:type="character" w:customStyle="1" w:styleId="BalloonTextChar1">
    <w:name w:val="Balloon Text Char1"/>
    <w:basedOn w:val="DefaultParagraphFont"/>
    <w:link w:val="BalloonText"/>
    <w:uiPriority w:val="99"/>
    <w:semiHidden/>
    <w:locked/>
    <w:rsid w:val="006028F4"/>
    <w:rPr>
      <w:rFonts w:ascii="Times New Roman" w:hAnsi="Times New Roman" w:cs="Times New Roman"/>
      <w:sz w:val="2"/>
    </w:rPr>
  </w:style>
  <w:style w:type="paragraph" w:styleId="BodyText3">
    <w:name w:val="Body Text 3"/>
    <w:basedOn w:val="Standard"/>
    <w:link w:val="BodyText3Char1"/>
    <w:uiPriority w:val="99"/>
    <w:rsid w:val="0098641B"/>
    <w:pPr>
      <w:spacing w:after="120"/>
      <w:jc w:val="both"/>
    </w:pPr>
    <w:rPr>
      <w:rFonts w:ascii="Verdana" w:hAnsi="Verdana"/>
      <w:sz w:val="20"/>
      <w:szCs w:val="20"/>
    </w:rPr>
  </w:style>
  <w:style w:type="character" w:customStyle="1" w:styleId="BodyText3Char1">
    <w:name w:val="Body Text 3 Char1"/>
    <w:basedOn w:val="DefaultParagraphFont"/>
    <w:link w:val="BodyText3"/>
    <w:uiPriority w:val="99"/>
    <w:semiHidden/>
    <w:locked/>
    <w:rsid w:val="006028F4"/>
    <w:rPr>
      <w:rFonts w:cs="Times New Roman"/>
      <w:sz w:val="16"/>
      <w:szCs w:val="16"/>
    </w:rPr>
  </w:style>
  <w:style w:type="paragraph" w:customStyle="1" w:styleId="Puces1">
    <w:name w:val="Puces 1"/>
    <w:basedOn w:val="Standard"/>
    <w:uiPriority w:val="99"/>
    <w:rsid w:val="0098641B"/>
    <w:pPr>
      <w:keepLines/>
      <w:overflowPunct w:val="0"/>
      <w:spacing w:before="60" w:after="60"/>
      <w:jc w:val="both"/>
      <w:textAlignment w:val="baseline"/>
    </w:pPr>
    <w:rPr>
      <w:rFonts w:ascii="Cambria" w:hAnsi="Cambria"/>
      <w:szCs w:val="20"/>
    </w:rPr>
  </w:style>
  <w:style w:type="paragraph" w:customStyle="1" w:styleId="Puces2">
    <w:name w:val="Puces 2"/>
    <w:basedOn w:val="Standard"/>
    <w:uiPriority w:val="99"/>
    <w:rsid w:val="0098641B"/>
    <w:pPr>
      <w:keepLines/>
      <w:overflowPunct w:val="0"/>
      <w:spacing w:before="60" w:after="60"/>
      <w:jc w:val="both"/>
      <w:textAlignment w:val="baseline"/>
    </w:pPr>
    <w:rPr>
      <w:rFonts w:ascii="Cambria" w:hAnsi="Cambria"/>
      <w:szCs w:val="20"/>
    </w:rPr>
  </w:style>
  <w:style w:type="paragraph" w:customStyle="1" w:styleId="Puces3">
    <w:name w:val="Puces 3"/>
    <w:basedOn w:val="Standard"/>
    <w:uiPriority w:val="99"/>
    <w:rsid w:val="0098641B"/>
    <w:pPr>
      <w:tabs>
        <w:tab w:val="left" w:pos="1701"/>
      </w:tabs>
      <w:overflowPunct w:val="0"/>
      <w:spacing w:before="60" w:after="60"/>
      <w:jc w:val="both"/>
      <w:textAlignment w:val="baseline"/>
    </w:pPr>
    <w:rPr>
      <w:rFonts w:ascii="Cambria" w:hAnsi="Cambria"/>
      <w:szCs w:val="20"/>
    </w:rPr>
  </w:style>
  <w:style w:type="character" w:styleId="Hyperlink">
    <w:name w:val="Hyperlink"/>
    <w:basedOn w:val="DefaultParagraphFont"/>
    <w:uiPriority w:val="99"/>
    <w:rsid w:val="00D82F0C"/>
    <w:rPr>
      <w:rFonts w:cs="Times New Roman"/>
      <w:color w:val="0000FF"/>
      <w:u w:val="single"/>
    </w:rPr>
  </w:style>
  <w:style w:type="paragraph" w:styleId="FootnoteText">
    <w:name w:val="footnote text"/>
    <w:basedOn w:val="Normal"/>
    <w:link w:val="FootnoteTextChar"/>
    <w:uiPriority w:val="99"/>
    <w:semiHidden/>
    <w:rsid w:val="00842602"/>
    <w:rPr>
      <w:sz w:val="20"/>
      <w:szCs w:val="20"/>
    </w:rPr>
  </w:style>
  <w:style w:type="character" w:customStyle="1" w:styleId="FootnoteTextChar">
    <w:name w:val="Footnote Text Char"/>
    <w:basedOn w:val="DefaultParagraphFont"/>
    <w:link w:val="FootnoteText"/>
    <w:uiPriority w:val="99"/>
    <w:semiHidden/>
    <w:locked/>
    <w:rsid w:val="002C082C"/>
    <w:rPr>
      <w:rFonts w:cs="Times New Roman"/>
      <w:sz w:val="20"/>
      <w:szCs w:val="20"/>
    </w:rPr>
  </w:style>
  <w:style w:type="character" w:styleId="FootnoteReference">
    <w:name w:val="footnote reference"/>
    <w:basedOn w:val="DefaultParagraphFont"/>
    <w:uiPriority w:val="99"/>
    <w:semiHidden/>
    <w:rsid w:val="00842602"/>
    <w:rPr>
      <w:rFonts w:cs="Times New Roman"/>
      <w:vertAlign w:val="superscript"/>
    </w:rPr>
  </w:style>
  <w:style w:type="character" w:styleId="Strong">
    <w:name w:val="Strong"/>
    <w:basedOn w:val="DefaultParagraphFont"/>
    <w:uiPriority w:val="99"/>
    <w:qFormat/>
    <w:locked/>
    <w:rsid w:val="002A0FFF"/>
    <w:rPr>
      <w:rFonts w:cs="Times New Roman"/>
      <w:b/>
      <w:bCs/>
    </w:rPr>
  </w:style>
  <w:style w:type="table" w:styleId="TableGrid">
    <w:name w:val="Table Grid"/>
    <w:basedOn w:val="TableNormal"/>
    <w:uiPriority w:val="99"/>
    <w:locked/>
    <w:rsid w:val="00F10EA7"/>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7522D9"/>
    <w:pPr>
      <w:tabs>
        <w:tab w:val="center" w:pos="4536"/>
        <w:tab w:val="right" w:pos="9072"/>
      </w:tabs>
    </w:pPr>
  </w:style>
  <w:style w:type="character" w:customStyle="1" w:styleId="FooterChar">
    <w:name w:val="Footer Char"/>
    <w:basedOn w:val="DefaultParagraphFont"/>
    <w:link w:val="Footer"/>
    <w:uiPriority w:val="99"/>
    <w:semiHidden/>
    <w:locked/>
    <w:rsid w:val="00CE2807"/>
    <w:rPr>
      <w:rFonts w:cs="Times New Roman"/>
    </w:rPr>
  </w:style>
  <w:style w:type="character" w:styleId="PageNumber">
    <w:name w:val="page number"/>
    <w:basedOn w:val="DefaultParagraphFont"/>
    <w:uiPriority w:val="99"/>
    <w:rsid w:val="007522D9"/>
    <w:rPr>
      <w:rFonts w:cs="Times New Roman"/>
    </w:rPr>
  </w:style>
</w:styles>
</file>

<file path=word/webSettings.xml><?xml version="1.0" encoding="utf-8"?>
<w:webSettings xmlns:r="http://schemas.openxmlformats.org/officeDocument/2006/relationships" xmlns:w="http://schemas.openxmlformats.org/wordprocessingml/2006/main">
  <w:divs>
    <w:div w:id="1271208836">
      <w:marLeft w:val="0"/>
      <w:marRight w:val="0"/>
      <w:marTop w:val="0"/>
      <w:marBottom w:val="0"/>
      <w:divBdr>
        <w:top w:val="none" w:sz="0" w:space="0" w:color="auto"/>
        <w:left w:val="none" w:sz="0" w:space="0" w:color="auto"/>
        <w:bottom w:val="none" w:sz="0" w:space="0" w:color="auto"/>
        <w:right w:val="none" w:sz="0" w:space="0" w:color="auto"/>
      </w:divBdr>
    </w:div>
    <w:div w:id="1271208837">
      <w:marLeft w:val="0"/>
      <w:marRight w:val="0"/>
      <w:marTop w:val="0"/>
      <w:marBottom w:val="0"/>
      <w:divBdr>
        <w:top w:val="none" w:sz="0" w:space="0" w:color="auto"/>
        <w:left w:val="none" w:sz="0" w:space="0" w:color="auto"/>
        <w:bottom w:val="none" w:sz="0" w:space="0" w:color="auto"/>
        <w:right w:val="none" w:sz="0" w:space="0" w:color="auto"/>
      </w:divBdr>
    </w:div>
    <w:div w:id="1271208838">
      <w:marLeft w:val="0"/>
      <w:marRight w:val="0"/>
      <w:marTop w:val="0"/>
      <w:marBottom w:val="0"/>
      <w:divBdr>
        <w:top w:val="none" w:sz="0" w:space="0" w:color="auto"/>
        <w:left w:val="none" w:sz="0" w:space="0" w:color="auto"/>
        <w:bottom w:val="none" w:sz="0" w:space="0" w:color="auto"/>
        <w:right w:val="none" w:sz="0" w:space="0" w:color="auto"/>
      </w:divBdr>
    </w:div>
    <w:div w:id="1271208839">
      <w:marLeft w:val="0"/>
      <w:marRight w:val="0"/>
      <w:marTop w:val="0"/>
      <w:marBottom w:val="0"/>
      <w:divBdr>
        <w:top w:val="none" w:sz="0" w:space="0" w:color="auto"/>
        <w:left w:val="none" w:sz="0" w:space="0" w:color="auto"/>
        <w:bottom w:val="none" w:sz="0" w:space="0" w:color="auto"/>
        <w:right w:val="none" w:sz="0" w:space="0" w:color="auto"/>
      </w:divBdr>
    </w:div>
    <w:div w:id="1271208840">
      <w:marLeft w:val="0"/>
      <w:marRight w:val="0"/>
      <w:marTop w:val="0"/>
      <w:marBottom w:val="0"/>
      <w:divBdr>
        <w:top w:val="none" w:sz="0" w:space="0" w:color="auto"/>
        <w:left w:val="none" w:sz="0" w:space="0" w:color="auto"/>
        <w:bottom w:val="none" w:sz="0" w:space="0" w:color="auto"/>
        <w:right w:val="none" w:sz="0" w:space="0" w:color="auto"/>
      </w:divBdr>
      <w:divsChild>
        <w:div w:id="1271208841">
          <w:marLeft w:val="0"/>
          <w:marRight w:val="0"/>
          <w:marTop w:val="0"/>
          <w:marBottom w:val="0"/>
          <w:divBdr>
            <w:top w:val="none" w:sz="0" w:space="0" w:color="auto"/>
            <w:left w:val="none" w:sz="0" w:space="0" w:color="auto"/>
            <w:bottom w:val="none" w:sz="0" w:space="0" w:color="auto"/>
            <w:right w:val="none" w:sz="0" w:space="0" w:color="auto"/>
          </w:divBdr>
          <w:divsChild>
            <w:div w:id="1271208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eveloppement-durable.gouv.fr/IMG/pdf/Guide-aides-financieres_jeco-renove_mai_2014.pdf" TargetMode="External"/><Relationship Id="rId13" Type="http://schemas.openxmlformats.org/officeDocument/2006/relationships/hyperlink" Target="http://www.territoires.gouv.fr/les-ecocites" TargetMode="External"/><Relationship Id="rId18" Type="http://schemas.openxmlformats.org/officeDocument/2006/relationships/hyperlink" Target="http://ec.europa.eu/regional_policy/images/map/eligible2014/fr.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ville.gouv.fr/IMG/pdf/cget_decv_rapport_conclusif_vdef.pdf" TargetMode="External"/><Relationship Id="rId7" Type="http://schemas.openxmlformats.org/officeDocument/2006/relationships/hyperlink" Target="http://www.developpement-durable.gouv.fr/Presentation-generale,25027.html" TargetMode="External"/><Relationship Id="rId12" Type="http://schemas.openxmlformats.org/officeDocument/2006/relationships/hyperlink" Target="http://www.developpement-durable.gouv.fr/L-appel-a-projets-territoires-zero.html" TargetMode="External"/><Relationship Id="rId17" Type="http://schemas.openxmlformats.org/officeDocument/2006/relationships/hyperlink" Target="http://www2.ademe.fr/servlet/getBin?name=31B30816F2D7B23D5E6104FB2122FCFA_tomcatlocal1391527873604.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2.ademe.fr/servlet/KBaseShow?sort=-1&amp;cid=96&amp;m=3&amp;catid=25642&amp;nocache=yes" TargetMode="External"/><Relationship Id="rId20" Type="http://schemas.openxmlformats.org/officeDocument/2006/relationships/hyperlink" Target="http://www.europe-en-france.gouv.fr/L-Europe-s-engage/Accord-de-partenaria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ah.fr/habitermieux.html"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2.ademe.fr/servlet/KBaseShow?sort=-1&amp;cid=96&amp;m=3&amp;catid=25360" TargetMode="External"/><Relationship Id="rId23" Type="http://schemas.openxmlformats.org/officeDocument/2006/relationships/hyperlink" Target="http://www.europe-en-france.gouv.fr/Des-programmes-pour-qui-pour-quoi/Programmes-2014-2020" TargetMode="External"/><Relationship Id="rId10" Type="http://schemas.openxmlformats.org/officeDocument/2006/relationships/hyperlink" Target="http://www.developpement-durable.gouv.fr/L-eco-pret-logement-social,28944.html" TargetMode="External"/><Relationship Id="rId19" Type="http://schemas.openxmlformats.org/officeDocument/2006/relationships/hyperlink" Target="http://www.europe-en-france.gouv.fr/L-Europe-s-engage/Accord-de-partenariat" TargetMode="External"/><Relationship Id="rId4" Type="http://schemas.openxmlformats.org/officeDocument/2006/relationships/webSettings" Target="webSettings.xml"/><Relationship Id="rId9" Type="http://schemas.openxmlformats.org/officeDocument/2006/relationships/hyperlink" Target="http://renovation-info-service.gouv.fr/" TargetMode="External"/><Relationship Id="rId14" Type="http://schemas.openxmlformats.org/officeDocument/2006/relationships/hyperlink" Target="http://www.caissedesdepots.fr/activite/domaines-daction/investissements-davenir/ville-de-demain-1000-meur.html" TargetMode="External"/><Relationship Id="rId22" Type="http://schemas.openxmlformats.org/officeDocument/2006/relationships/hyperlink" Target="http://www.europe-en-france.gouv.fr/"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TotalTime>
  <Pages>14</Pages>
  <Words>8508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chaletcunye</dc:creator>
  <cp:keywords/>
  <dc:description/>
  <cp:lastModifiedBy>MEDDE</cp:lastModifiedBy>
  <cp:revision>8</cp:revision>
  <cp:lastPrinted>2014-11-10T08:03:00Z</cp:lastPrinted>
  <dcterms:created xsi:type="dcterms:W3CDTF">2014-12-11T12:54:00Z</dcterms:created>
  <dcterms:modified xsi:type="dcterms:W3CDTF">2014-12-22T14:27:00Z</dcterms:modified>
</cp:coreProperties>
</file>